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0042" w14:textId="041483CD" w:rsidR="001245EA" w:rsidRPr="00D33727" w:rsidRDefault="001245EA" w:rsidP="00DE243D">
      <w:pPr>
        <w:rPr>
          <w:rFonts w:ascii="Arial" w:hAnsi="Arial" w:cs="Arial"/>
          <w:sz w:val="20"/>
          <w:szCs w:val="20"/>
        </w:rPr>
      </w:pPr>
    </w:p>
    <w:p w14:paraId="460A8767" w14:textId="02B6EDD3" w:rsidR="005F6571" w:rsidRDefault="00916954" w:rsidP="00DE243D">
      <w:pPr>
        <w:rPr>
          <w:rFonts w:ascii="Arial" w:hAnsi="Arial" w:cs="Arial"/>
          <w:b/>
          <w:sz w:val="20"/>
          <w:szCs w:val="20"/>
        </w:rPr>
      </w:pPr>
      <w:r w:rsidRPr="00D33727">
        <w:rPr>
          <w:rFonts w:ascii="Arial" w:hAnsi="Arial" w:cs="Arial"/>
          <w:b/>
          <w:sz w:val="20"/>
          <w:szCs w:val="20"/>
        </w:rPr>
        <w:t xml:space="preserve">  </w:t>
      </w:r>
      <w:r w:rsidR="00A465C6">
        <w:rPr>
          <w:rFonts w:ascii="Arial" w:hAnsi="Arial" w:cs="Arial"/>
          <w:b/>
          <w:sz w:val="20"/>
          <w:szCs w:val="20"/>
        </w:rPr>
        <w:t xml:space="preserve">A Novel </w:t>
      </w:r>
      <w:r w:rsidR="009B4C82">
        <w:rPr>
          <w:rFonts w:ascii="Arial" w:hAnsi="Arial" w:cs="Arial"/>
          <w:b/>
          <w:sz w:val="20"/>
          <w:szCs w:val="20"/>
        </w:rPr>
        <w:t xml:space="preserve">Dual </w:t>
      </w:r>
      <w:r w:rsidR="00A465C6">
        <w:rPr>
          <w:rFonts w:ascii="Arial" w:hAnsi="Arial" w:cs="Arial"/>
          <w:b/>
          <w:sz w:val="20"/>
          <w:szCs w:val="20"/>
        </w:rPr>
        <w:t xml:space="preserve">Rapid ELISA for sequential detection of </w:t>
      </w:r>
      <w:r w:rsidR="00D33727" w:rsidRPr="00D33727">
        <w:rPr>
          <w:rFonts w:ascii="Arial" w:hAnsi="Arial" w:cs="Arial"/>
          <w:b/>
          <w:sz w:val="20"/>
          <w:szCs w:val="20"/>
        </w:rPr>
        <w:t>Anti-</w:t>
      </w:r>
      <w:r w:rsidRPr="00D33727">
        <w:rPr>
          <w:rFonts w:ascii="Arial" w:hAnsi="Arial" w:cs="Arial"/>
          <w:b/>
          <w:sz w:val="20"/>
          <w:szCs w:val="20"/>
        </w:rPr>
        <w:t xml:space="preserve">SARS-CoV2 </w:t>
      </w:r>
      <w:r w:rsidR="00A465C6">
        <w:rPr>
          <w:rFonts w:ascii="Arial" w:hAnsi="Arial" w:cs="Arial"/>
          <w:b/>
          <w:sz w:val="20"/>
          <w:szCs w:val="20"/>
        </w:rPr>
        <w:t>nucleocapsid</w:t>
      </w:r>
      <w:r w:rsidR="00D33727" w:rsidRPr="00D33727">
        <w:rPr>
          <w:rFonts w:ascii="Arial" w:hAnsi="Arial" w:cs="Arial"/>
          <w:b/>
          <w:sz w:val="20"/>
          <w:szCs w:val="20"/>
        </w:rPr>
        <w:t xml:space="preserve"> anti </w:t>
      </w:r>
      <w:r w:rsidR="00A465C6">
        <w:rPr>
          <w:rFonts w:ascii="Arial" w:hAnsi="Arial" w:cs="Arial"/>
          <w:b/>
          <w:sz w:val="20"/>
          <w:szCs w:val="20"/>
        </w:rPr>
        <w:t>a</w:t>
      </w:r>
      <w:r w:rsidR="00D33727" w:rsidRPr="00D33727">
        <w:rPr>
          <w:rFonts w:ascii="Arial" w:hAnsi="Arial" w:cs="Arial"/>
          <w:b/>
          <w:sz w:val="20"/>
          <w:szCs w:val="20"/>
        </w:rPr>
        <w:t xml:space="preserve">nti-SARS-CoV2 </w:t>
      </w:r>
      <w:r w:rsidR="00A465C6">
        <w:rPr>
          <w:rFonts w:ascii="Arial" w:hAnsi="Arial" w:cs="Arial"/>
          <w:b/>
          <w:sz w:val="20"/>
          <w:szCs w:val="20"/>
        </w:rPr>
        <w:t>spike</w:t>
      </w:r>
      <w:r w:rsidR="00D33727" w:rsidRPr="00D33727">
        <w:rPr>
          <w:rFonts w:ascii="Arial" w:hAnsi="Arial" w:cs="Arial"/>
          <w:b/>
          <w:sz w:val="20"/>
          <w:szCs w:val="20"/>
        </w:rPr>
        <w:t xml:space="preserve"> </w:t>
      </w:r>
      <w:r w:rsidR="005F6571">
        <w:rPr>
          <w:rFonts w:ascii="Arial" w:hAnsi="Arial" w:cs="Arial"/>
          <w:b/>
          <w:sz w:val="20"/>
          <w:szCs w:val="20"/>
        </w:rPr>
        <w:t xml:space="preserve"> </w:t>
      </w:r>
    </w:p>
    <w:p w14:paraId="09CA1B46" w14:textId="2ADA196A" w:rsidR="002B1459" w:rsidRDefault="005F6571" w:rsidP="00DE24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A465C6">
        <w:rPr>
          <w:rFonts w:ascii="Arial" w:hAnsi="Arial" w:cs="Arial"/>
          <w:b/>
          <w:sz w:val="20"/>
          <w:szCs w:val="20"/>
        </w:rPr>
        <w:t>antibodies 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465C6">
        <w:rPr>
          <w:rFonts w:ascii="Arial" w:hAnsi="Arial" w:cs="Arial"/>
          <w:b/>
          <w:sz w:val="20"/>
          <w:szCs w:val="20"/>
        </w:rPr>
        <w:t xml:space="preserve">the same sample </w:t>
      </w:r>
    </w:p>
    <w:p w14:paraId="52A32D5B" w14:textId="564E5CA0" w:rsidR="001245EA" w:rsidRDefault="00CF6DAC" w:rsidP="00DE243D">
      <w:pPr>
        <w:rPr>
          <w:rFonts w:ascii="Calibri" w:hAnsi="Calibri" w:cs="Calibri"/>
          <w:b/>
          <w:i/>
          <w:color w:val="FF0000"/>
        </w:rPr>
      </w:pPr>
      <w:r w:rsidRPr="00CF6DAC">
        <w:rPr>
          <w:rFonts w:ascii="Calibri" w:hAnsi="Calibri" w:cs="Calibri"/>
          <w:b/>
          <w:i/>
          <w:color w:val="FF0000"/>
        </w:rPr>
        <w:t xml:space="preserve">  Ultrasensitive detection of antibodies to </w:t>
      </w:r>
      <w:r w:rsidR="009B4C82">
        <w:rPr>
          <w:rFonts w:ascii="Calibri" w:hAnsi="Calibri" w:cs="Calibri"/>
          <w:b/>
          <w:i/>
          <w:color w:val="FF0000"/>
        </w:rPr>
        <w:t xml:space="preserve">both </w:t>
      </w:r>
      <w:r w:rsidRPr="00CF6DAC">
        <w:rPr>
          <w:rFonts w:ascii="Calibri" w:hAnsi="Calibri" w:cs="Calibri"/>
          <w:b/>
          <w:i/>
          <w:color w:val="FF0000"/>
        </w:rPr>
        <w:t>SARS-CoV2 nucleocapsid and spike protein in 40 mins</w:t>
      </w:r>
    </w:p>
    <w:p w14:paraId="7433398C" w14:textId="77777777" w:rsidR="00CF6DAC" w:rsidRPr="00CF6DAC" w:rsidRDefault="00CF6DAC" w:rsidP="00DE243D">
      <w:pPr>
        <w:rPr>
          <w:rFonts w:ascii="Calibri" w:hAnsi="Calibri" w:cs="Calibri"/>
          <w:b/>
          <w:i/>
          <w:color w:val="FF0000"/>
        </w:rPr>
      </w:pPr>
    </w:p>
    <w:p w14:paraId="3C6E4D73" w14:textId="6F036455" w:rsidR="00D33727" w:rsidRPr="00D33727" w:rsidRDefault="003D0C0E" w:rsidP="00DE243D">
      <w:pPr>
        <w:rPr>
          <w:rFonts w:ascii="Calibri" w:hAnsi="Calibri" w:cs="Calibri"/>
          <w:b/>
          <w:sz w:val="20"/>
          <w:szCs w:val="20"/>
        </w:rPr>
      </w:pPr>
      <w:r w:rsidRPr="00D33727">
        <w:rPr>
          <w:rFonts w:ascii="Calibri" w:hAnsi="Calibri" w:cs="Calibri"/>
          <w:b/>
          <w:sz w:val="20"/>
          <w:szCs w:val="20"/>
        </w:rPr>
        <w:t xml:space="preserve">  FOR RESEARCH USE ONLY- NOT FDA APPROVED</w:t>
      </w:r>
    </w:p>
    <w:p w14:paraId="7540D1D3" w14:textId="2210F90F" w:rsidR="00916954" w:rsidRPr="00D33727" w:rsidRDefault="00D33727" w:rsidP="00DE243D">
      <w:pPr>
        <w:rPr>
          <w:rFonts w:ascii="Calibri" w:hAnsi="Calibri" w:cs="Calibri"/>
          <w:sz w:val="20"/>
          <w:szCs w:val="20"/>
        </w:rPr>
      </w:pPr>
      <w:r w:rsidRPr="00D33727">
        <w:rPr>
          <w:rFonts w:ascii="Calibri" w:hAnsi="Calibri" w:cs="Calibri"/>
          <w:sz w:val="20"/>
          <w:szCs w:val="20"/>
        </w:rPr>
        <w:t xml:space="preserve">  </w:t>
      </w:r>
      <w:r w:rsidR="00916954" w:rsidRPr="00D33727">
        <w:rPr>
          <w:rFonts w:ascii="Calibri" w:hAnsi="Calibri" w:cs="Calibri"/>
          <w:sz w:val="20"/>
          <w:szCs w:val="20"/>
        </w:rPr>
        <w:t xml:space="preserve">Size -96 </w:t>
      </w:r>
      <w:r w:rsidRPr="00D33727">
        <w:rPr>
          <w:rFonts w:ascii="Calibri" w:hAnsi="Calibri" w:cs="Calibri"/>
          <w:sz w:val="20"/>
          <w:szCs w:val="20"/>
        </w:rPr>
        <w:t>Assays</w:t>
      </w:r>
    </w:p>
    <w:p w14:paraId="1334D2E8" w14:textId="3C752599" w:rsidR="00916954" w:rsidRPr="00D33727" w:rsidRDefault="00916954" w:rsidP="00DE243D">
      <w:pPr>
        <w:rPr>
          <w:rFonts w:ascii="Calibri" w:hAnsi="Calibri" w:cs="Calibri"/>
          <w:sz w:val="20"/>
          <w:szCs w:val="20"/>
        </w:rPr>
      </w:pPr>
      <w:r w:rsidRPr="00D33727">
        <w:rPr>
          <w:rFonts w:ascii="Calibri" w:hAnsi="Calibri" w:cs="Calibri"/>
          <w:sz w:val="20"/>
          <w:szCs w:val="20"/>
        </w:rPr>
        <w:t xml:space="preserve">  Sample: 50- 100 ul</w:t>
      </w:r>
    </w:p>
    <w:p w14:paraId="245D25B5" w14:textId="6AAAD572" w:rsidR="00916954" w:rsidRPr="00D33727" w:rsidRDefault="00916954" w:rsidP="00DE243D">
      <w:pPr>
        <w:rPr>
          <w:rFonts w:ascii="Calibri" w:hAnsi="Calibri" w:cs="Calibri"/>
          <w:sz w:val="20"/>
          <w:szCs w:val="20"/>
        </w:rPr>
      </w:pPr>
      <w:r w:rsidRPr="00D33727">
        <w:rPr>
          <w:rFonts w:ascii="Calibri" w:hAnsi="Calibri" w:cs="Calibri"/>
          <w:sz w:val="20"/>
          <w:szCs w:val="20"/>
        </w:rPr>
        <w:t xml:space="preserve">  Detection: Bioluminescence</w:t>
      </w:r>
    </w:p>
    <w:p w14:paraId="12ADA00A" w14:textId="52DB93F5" w:rsidR="009E7AA2" w:rsidRPr="00D33727" w:rsidRDefault="000D05E0" w:rsidP="00DE243D">
      <w:pPr>
        <w:rPr>
          <w:rFonts w:ascii="Calibri" w:hAnsi="Calibri" w:cs="Calibri"/>
          <w:sz w:val="20"/>
          <w:szCs w:val="20"/>
        </w:rPr>
      </w:pPr>
      <w:r w:rsidRPr="00D33727">
        <w:rPr>
          <w:rFonts w:ascii="Calibri" w:hAnsi="Calibri" w:cs="Calibri"/>
          <w:sz w:val="20"/>
          <w:szCs w:val="20"/>
        </w:rPr>
        <w:t xml:space="preserve">  Sensitivity- </w:t>
      </w:r>
      <w:r w:rsidR="00D33727" w:rsidRPr="00D33727">
        <w:rPr>
          <w:rFonts w:ascii="Calibri" w:hAnsi="Calibri" w:cs="Calibri"/>
          <w:sz w:val="20"/>
          <w:szCs w:val="20"/>
        </w:rPr>
        <w:t>10</w:t>
      </w:r>
      <w:r w:rsidR="009E7AA2" w:rsidRPr="00D3372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E7AA2" w:rsidRPr="00D33727">
        <w:rPr>
          <w:rFonts w:ascii="Calibri" w:hAnsi="Calibri" w:cs="Calibri"/>
          <w:sz w:val="20"/>
          <w:szCs w:val="20"/>
        </w:rPr>
        <w:t>pg</w:t>
      </w:r>
      <w:proofErr w:type="spellEnd"/>
      <w:r w:rsidR="009E7AA2" w:rsidRPr="00D33727">
        <w:rPr>
          <w:rFonts w:ascii="Calibri" w:hAnsi="Calibri" w:cs="Calibri"/>
          <w:sz w:val="20"/>
          <w:szCs w:val="20"/>
        </w:rPr>
        <w:t>/ml</w:t>
      </w:r>
    </w:p>
    <w:p w14:paraId="7487D155" w14:textId="27BB8818" w:rsidR="009E7AA2" w:rsidRPr="00D33727" w:rsidRDefault="009E7AA2" w:rsidP="00DE243D">
      <w:pPr>
        <w:rPr>
          <w:rFonts w:ascii="Calibri" w:hAnsi="Calibri" w:cs="Calibri"/>
          <w:sz w:val="20"/>
          <w:szCs w:val="20"/>
        </w:rPr>
      </w:pPr>
      <w:r w:rsidRPr="00D33727">
        <w:rPr>
          <w:rFonts w:ascii="Calibri" w:hAnsi="Calibri" w:cs="Calibri"/>
          <w:sz w:val="20"/>
          <w:szCs w:val="20"/>
        </w:rPr>
        <w:t xml:space="preserve">  Standard curve range</w:t>
      </w:r>
      <w:r w:rsidR="000D05E0" w:rsidRPr="00D33727">
        <w:rPr>
          <w:rFonts w:ascii="Calibri" w:hAnsi="Calibri" w:cs="Calibri"/>
          <w:sz w:val="20"/>
          <w:szCs w:val="20"/>
        </w:rPr>
        <w:t xml:space="preserve"> </w:t>
      </w:r>
      <w:r w:rsidR="00D33727" w:rsidRPr="00D33727">
        <w:rPr>
          <w:rFonts w:ascii="Calibri" w:hAnsi="Calibri" w:cs="Calibri"/>
          <w:sz w:val="20"/>
          <w:szCs w:val="20"/>
        </w:rPr>
        <w:t xml:space="preserve">10 </w:t>
      </w:r>
      <w:proofErr w:type="spellStart"/>
      <w:r w:rsidR="000D05E0" w:rsidRPr="00D33727">
        <w:rPr>
          <w:rFonts w:ascii="Calibri" w:hAnsi="Calibri" w:cs="Calibri"/>
          <w:sz w:val="20"/>
          <w:szCs w:val="20"/>
        </w:rPr>
        <w:t>pg</w:t>
      </w:r>
      <w:proofErr w:type="spellEnd"/>
      <w:r w:rsidR="000D05E0" w:rsidRPr="00D33727">
        <w:rPr>
          <w:rFonts w:ascii="Calibri" w:hAnsi="Calibri" w:cs="Calibri"/>
          <w:sz w:val="20"/>
          <w:szCs w:val="20"/>
        </w:rPr>
        <w:t xml:space="preserve">/ml to </w:t>
      </w:r>
      <w:r w:rsidR="00D33727" w:rsidRPr="00D33727">
        <w:rPr>
          <w:rFonts w:ascii="Calibri" w:hAnsi="Calibri" w:cs="Calibri"/>
          <w:sz w:val="20"/>
          <w:szCs w:val="20"/>
        </w:rPr>
        <w:t>1u</w:t>
      </w:r>
      <w:r w:rsidRPr="00D33727">
        <w:rPr>
          <w:rFonts w:ascii="Calibri" w:hAnsi="Calibri" w:cs="Calibri"/>
          <w:sz w:val="20"/>
          <w:szCs w:val="20"/>
        </w:rPr>
        <w:t>g/ml</w:t>
      </w:r>
    </w:p>
    <w:p w14:paraId="5DD59D5E" w14:textId="4CAA9D80" w:rsidR="00916954" w:rsidRPr="00D33727" w:rsidRDefault="00916954" w:rsidP="00DE243D">
      <w:pPr>
        <w:rPr>
          <w:rFonts w:ascii="Calibri" w:hAnsi="Calibri" w:cs="Calibri"/>
          <w:sz w:val="20"/>
          <w:szCs w:val="20"/>
        </w:rPr>
      </w:pPr>
      <w:r w:rsidRPr="00D33727">
        <w:rPr>
          <w:rFonts w:ascii="Calibri" w:hAnsi="Calibri" w:cs="Calibri"/>
          <w:sz w:val="20"/>
          <w:szCs w:val="20"/>
        </w:rPr>
        <w:t xml:space="preserve">  Instrument required: Microplate luminometer</w:t>
      </w:r>
    </w:p>
    <w:p w14:paraId="0123CD94" w14:textId="0C5B0BC4" w:rsidR="00916954" w:rsidRPr="00D33727" w:rsidRDefault="000D05E0" w:rsidP="00DE243D">
      <w:pPr>
        <w:rPr>
          <w:rFonts w:ascii="Calibri" w:hAnsi="Calibri" w:cs="Calibri"/>
          <w:sz w:val="20"/>
          <w:szCs w:val="20"/>
        </w:rPr>
      </w:pPr>
      <w:r w:rsidRPr="00D33727">
        <w:rPr>
          <w:rFonts w:ascii="Calibri" w:hAnsi="Calibri" w:cs="Calibri"/>
          <w:sz w:val="20"/>
          <w:szCs w:val="20"/>
        </w:rPr>
        <w:t xml:space="preserve">  Assay Time:   </w:t>
      </w:r>
      <w:r w:rsidR="00D27D0B">
        <w:rPr>
          <w:rFonts w:ascii="Calibri" w:hAnsi="Calibri" w:cs="Calibri"/>
          <w:sz w:val="20"/>
          <w:szCs w:val="20"/>
        </w:rPr>
        <w:t>3</w:t>
      </w:r>
      <w:r w:rsidR="00916954" w:rsidRPr="00D33727">
        <w:rPr>
          <w:rFonts w:ascii="Calibri" w:hAnsi="Calibri" w:cs="Calibri"/>
          <w:sz w:val="20"/>
          <w:szCs w:val="20"/>
        </w:rPr>
        <w:t>0 mins</w:t>
      </w:r>
    </w:p>
    <w:p w14:paraId="0A06BAA0" w14:textId="6B20FC22" w:rsidR="00D33727" w:rsidRPr="00A465C6" w:rsidRDefault="00D33727" w:rsidP="00DE243D">
      <w:pPr>
        <w:rPr>
          <w:rFonts w:ascii="Calibri" w:hAnsi="Calibri" w:cs="Calibri"/>
          <w:b/>
          <w:sz w:val="20"/>
          <w:szCs w:val="20"/>
        </w:rPr>
      </w:pPr>
      <w:r w:rsidRPr="00D33727">
        <w:rPr>
          <w:rFonts w:ascii="Calibri" w:hAnsi="Calibri" w:cs="Calibri"/>
          <w:sz w:val="20"/>
          <w:szCs w:val="20"/>
        </w:rPr>
        <w:t xml:space="preserve">  </w:t>
      </w:r>
      <w:r w:rsidRPr="00A465C6">
        <w:rPr>
          <w:rFonts w:ascii="Calibri" w:hAnsi="Calibri" w:cs="Calibri"/>
          <w:b/>
          <w:sz w:val="20"/>
          <w:szCs w:val="20"/>
        </w:rPr>
        <w:t>ELISA type- Bioluminescence-linked ELISA (BL-ELISA)</w:t>
      </w:r>
    </w:p>
    <w:p w14:paraId="13180BFE" w14:textId="1C90D961" w:rsidR="00D33727" w:rsidRPr="00D33727" w:rsidRDefault="00D33727" w:rsidP="00DE243D">
      <w:pPr>
        <w:rPr>
          <w:rFonts w:ascii="Calibri" w:hAnsi="Calibri" w:cs="Calibri"/>
          <w:sz w:val="20"/>
          <w:szCs w:val="20"/>
        </w:rPr>
      </w:pPr>
    </w:p>
    <w:p w14:paraId="77B90BD7" w14:textId="585860D7" w:rsidR="00D33727" w:rsidRPr="00D33727" w:rsidRDefault="00D33727" w:rsidP="00D33727">
      <w:pPr>
        <w:rPr>
          <w:rFonts w:ascii="Arial" w:hAnsi="Arial" w:cs="Arial"/>
          <w:sz w:val="20"/>
          <w:szCs w:val="20"/>
        </w:rPr>
      </w:pPr>
      <w:r w:rsidRPr="00D33727">
        <w:rPr>
          <w:rFonts w:ascii="Calibri" w:hAnsi="Calibri" w:cs="Calibri"/>
          <w:sz w:val="20"/>
          <w:szCs w:val="20"/>
        </w:rPr>
        <w:t xml:space="preserve"> </w:t>
      </w:r>
      <w:r w:rsidRPr="00D33727">
        <w:rPr>
          <w:rFonts w:ascii="Arial" w:hAnsi="Arial" w:cs="Arial"/>
          <w:sz w:val="20"/>
          <w:szCs w:val="20"/>
        </w:rPr>
        <w:t xml:space="preserve">Catalog # </w:t>
      </w:r>
      <w:r w:rsidR="00A465C6">
        <w:rPr>
          <w:rFonts w:ascii="Arial" w:hAnsi="Arial" w:cs="Arial"/>
          <w:sz w:val="20"/>
          <w:szCs w:val="20"/>
        </w:rPr>
        <w:t xml:space="preserve">DUAL </w:t>
      </w:r>
      <w:r w:rsidRPr="00D33727">
        <w:rPr>
          <w:rFonts w:ascii="Arial" w:hAnsi="Arial" w:cs="Arial"/>
          <w:sz w:val="20"/>
          <w:szCs w:val="20"/>
        </w:rPr>
        <w:t>SNAb-RELISA-01, $650</w:t>
      </w:r>
      <w:r w:rsidR="00A465C6">
        <w:rPr>
          <w:rFonts w:ascii="Arial" w:hAnsi="Arial" w:cs="Arial"/>
          <w:sz w:val="20"/>
          <w:szCs w:val="20"/>
        </w:rPr>
        <w:t xml:space="preserve"> (Enquire for bulk purchase)</w:t>
      </w:r>
    </w:p>
    <w:p w14:paraId="31C85610" w14:textId="77777777" w:rsidR="005D6164" w:rsidRDefault="005D6164" w:rsidP="00D33727">
      <w:pPr>
        <w:rPr>
          <w:rFonts w:ascii="Arial" w:hAnsi="Arial" w:cs="Arial"/>
          <w:sz w:val="20"/>
          <w:szCs w:val="20"/>
        </w:rPr>
      </w:pPr>
    </w:p>
    <w:p w14:paraId="72BA04E5" w14:textId="611C72A4" w:rsidR="00D33727" w:rsidRDefault="005D6164" w:rsidP="00D337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33727">
        <w:rPr>
          <w:rFonts w:ascii="Arial" w:hAnsi="Arial" w:cs="Arial"/>
          <w:sz w:val="20"/>
          <w:szCs w:val="20"/>
        </w:rPr>
        <w:t xml:space="preserve">Advantages:   </w:t>
      </w:r>
    </w:p>
    <w:p w14:paraId="3C80B8EE" w14:textId="0A136CDB" w:rsidR="00D33727" w:rsidRDefault="00D33727" w:rsidP="00D3372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Rapid ELISA- Quantitation of both antibodies is complete in about </w:t>
      </w:r>
      <w:r w:rsidR="005F6571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min</w:t>
      </w:r>
    </w:p>
    <w:p w14:paraId="4B501447" w14:textId="7A612D50" w:rsidR="00D33727" w:rsidRDefault="00D33727" w:rsidP="00D3372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Improved sensitivity</w:t>
      </w:r>
      <w:r w:rsidR="005F6571">
        <w:rPr>
          <w:rFonts w:ascii="Arial" w:hAnsi="Arial" w:cs="Arial"/>
          <w:sz w:val="20"/>
          <w:szCs w:val="20"/>
        </w:rPr>
        <w:t xml:space="preserve"> due to ultrasensitive bioluminescent reporters for detection</w:t>
      </w:r>
    </w:p>
    <w:p w14:paraId="08808238" w14:textId="4CDCF1DF" w:rsidR="00D33727" w:rsidRPr="00D33727" w:rsidRDefault="00D33727" w:rsidP="00D3372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both analytes can be measured in the same plate this assay saves time and is cost-effective</w:t>
      </w:r>
    </w:p>
    <w:p w14:paraId="7BF02A5D" w14:textId="73B1ED44" w:rsidR="00D33727" w:rsidRDefault="00D33727" w:rsidP="00DE243D">
      <w:pPr>
        <w:rPr>
          <w:rFonts w:ascii="Calibri" w:hAnsi="Calibri" w:cs="Calibri"/>
        </w:rPr>
      </w:pPr>
    </w:p>
    <w:p w14:paraId="24F92F74" w14:textId="75302EE7" w:rsidR="002B1459" w:rsidRDefault="005D6164" w:rsidP="00DE243D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F0FDC" wp14:editId="1E6FC6DB">
                <wp:simplePos x="0" y="0"/>
                <wp:positionH relativeFrom="column">
                  <wp:posOffset>31750</wp:posOffset>
                </wp:positionH>
                <wp:positionV relativeFrom="paragraph">
                  <wp:posOffset>3390265</wp:posOffset>
                </wp:positionV>
                <wp:extent cx="3528291" cy="2413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91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BCD0D" w14:textId="77777777" w:rsidR="005D6164" w:rsidRPr="005D6164" w:rsidRDefault="005D6164" w:rsidP="005D616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D616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Concentration of Anti-SARS-CoV2 nucleocapsid protein antibody  </w:t>
                            </w:r>
                          </w:p>
                          <w:p w14:paraId="4A8E2F91" w14:textId="77777777" w:rsidR="005D6164" w:rsidRDefault="005D6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F0F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.5pt;margin-top:266.95pt;width:277.8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" fillcolor="white [3201]" stroked="f" strokeweight=".5pt">
                <v:textbox>
                  <w:txbxContent>
                    <w:p w14:paraId="193BCD0D" w14:textId="77777777" w:rsidR="005D6164" w:rsidRPr="005D6164" w:rsidRDefault="005D6164" w:rsidP="005D616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D616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Concentration of Anti-SARS-CoV2 nucleocapsid protein antibody  </w:t>
                      </w:r>
                    </w:p>
                    <w:p w14:paraId="4A8E2F91" w14:textId="77777777" w:rsidR="005D6164" w:rsidRDefault="005D6164"/>
                  </w:txbxContent>
                </v:textbox>
              </v:shape>
            </w:pict>
          </mc:Fallback>
        </mc:AlternateContent>
      </w:r>
      <w:r w:rsidR="00D33727">
        <w:rPr>
          <w:noProof/>
        </w:rPr>
        <w:drawing>
          <wp:inline distT="0" distB="0" distL="0" distR="0" wp14:anchorId="74D25ED1" wp14:editId="7BA364EE">
            <wp:extent cx="3583709" cy="3611245"/>
            <wp:effectExtent l="0" t="0" r="10795" b="825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283F998D-51F9-4F4D-96B0-148F243FD7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33727">
        <w:rPr>
          <w:rFonts w:ascii="Calibri" w:hAnsi="Calibri" w:cs="Calibri"/>
        </w:rPr>
        <w:t xml:space="preserve"> </w:t>
      </w:r>
      <w:r w:rsidR="00D33727">
        <w:rPr>
          <w:noProof/>
        </w:rPr>
        <w:drawing>
          <wp:inline distT="0" distB="0" distL="0" distR="0" wp14:anchorId="0DFC2AFE" wp14:editId="7F628BAF">
            <wp:extent cx="3333750" cy="3608705"/>
            <wp:effectExtent l="0" t="0" r="6350" b="1079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4C3C93F-822B-2E45-9CEF-00D9E0E22B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B9A706" w14:textId="77777777" w:rsidR="00D33727" w:rsidRDefault="00D33727" w:rsidP="00DE243D">
      <w:pPr>
        <w:rPr>
          <w:rFonts w:ascii="Arial" w:hAnsi="Arial" w:cs="Arial"/>
          <w:b/>
          <w:sz w:val="20"/>
          <w:szCs w:val="20"/>
        </w:rPr>
      </w:pPr>
    </w:p>
    <w:p w14:paraId="0C0A403D" w14:textId="6D9A72A2" w:rsidR="00D33727" w:rsidRPr="00D33727" w:rsidRDefault="00D33727" w:rsidP="00DE243D">
      <w:pPr>
        <w:rPr>
          <w:rFonts w:ascii="Arial" w:hAnsi="Arial" w:cs="Arial"/>
          <w:b/>
          <w:sz w:val="20"/>
          <w:szCs w:val="20"/>
        </w:rPr>
      </w:pPr>
      <w:r w:rsidRPr="00D33727">
        <w:rPr>
          <w:rFonts w:ascii="Arial" w:hAnsi="Arial" w:cs="Arial"/>
          <w:b/>
          <w:sz w:val="20"/>
          <w:szCs w:val="20"/>
        </w:rPr>
        <w:t xml:space="preserve">Description:  </w:t>
      </w:r>
    </w:p>
    <w:p w14:paraId="43B519AB" w14:textId="3DF7B851" w:rsidR="00916954" w:rsidRDefault="00D33727" w:rsidP="00DE243D">
      <w:pPr>
        <w:rPr>
          <w:rFonts w:ascii="Arial" w:hAnsi="Arial" w:cs="Arial"/>
          <w:sz w:val="20"/>
          <w:szCs w:val="20"/>
        </w:rPr>
      </w:pPr>
      <w:r w:rsidRPr="00D33727">
        <w:rPr>
          <w:rFonts w:ascii="Arial" w:hAnsi="Arial" w:cs="Arial"/>
          <w:b/>
          <w:sz w:val="20"/>
          <w:szCs w:val="20"/>
        </w:rPr>
        <w:t>Application:</w:t>
      </w:r>
      <w:r>
        <w:rPr>
          <w:rFonts w:ascii="Arial" w:hAnsi="Arial" w:cs="Arial"/>
          <w:sz w:val="20"/>
          <w:szCs w:val="20"/>
        </w:rPr>
        <w:t xml:space="preserve"> </w:t>
      </w:r>
      <w:r w:rsidRPr="00D33727">
        <w:rPr>
          <w:rFonts w:ascii="Arial" w:hAnsi="Arial" w:cs="Arial"/>
          <w:sz w:val="20"/>
          <w:szCs w:val="20"/>
        </w:rPr>
        <w:t xml:space="preserve">This immunoassay kit allows for in vitro quantitative determination </w:t>
      </w:r>
      <w:proofErr w:type="gramStart"/>
      <w:r w:rsidRPr="00D33727">
        <w:rPr>
          <w:rFonts w:ascii="Arial" w:hAnsi="Arial" w:cs="Arial"/>
          <w:sz w:val="20"/>
          <w:szCs w:val="20"/>
        </w:rPr>
        <w:t>of  human</w:t>
      </w:r>
      <w:proofErr w:type="gramEnd"/>
      <w:r w:rsidRPr="00D33727">
        <w:rPr>
          <w:rFonts w:ascii="Arial" w:hAnsi="Arial" w:cs="Arial"/>
          <w:sz w:val="20"/>
          <w:szCs w:val="20"/>
        </w:rPr>
        <w:t xml:space="preserve"> anti-SARS-CoV2 nucleocapsid antibodies and anti-SARS-CoV2 spike protein antibody concentrations in serum, saliva and other biological fluids. The kit can be stored at 4</w:t>
      </w:r>
      <w:r w:rsidRPr="00D33727">
        <w:rPr>
          <w:rFonts w:ascii="Arial" w:hAnsi="Arial" w:cs="Arial"/>
          <w:sz w:val="20"/>
          <w:szCs w:val="20"/>
          <w:vertAlign w:val="superscript"/>
        </w:rPr>
        <w:t xml:space="preserve">o </w:t>
      </w:r>
      <w:r w:rsidRPr="00D33727">
        <w:rPr>
          <w:rFonts w:ascii="Arial" w:hAnsi="Arial" w:cs="Arial"/>
          <w:sz w:val="20"/>
          <w:szCs w:val="20"/>
        </w:rPr>
        <w:t>C for 6 months</w:t>
      </w:r>
    </w:p>
    <w:p w14:paraId="6366DE41" w14:textId="30495CA2" w:rsidR="00D33727" w:rsidRDefault="00D33727" w:rsidP="00DE243D">
      <w:pPr>
        <w:rPr>
          <w:rFonts w:ascii="Arial" w:hAnsi="Arial" w:cs="Arial"/>
          <w:sz w:val="20"/>
          <w:szCs w:val="20"/>
        </w:rPr>
      </w:pPr>
      <w:r w:rsidRPr="00D33727">
        <w:rPr>
          <w:rFonts w:ascii="Arial" w:hAnsi="Arial" w:cs="Arial"/>
          <w:b/>
          <w:sz w:val="20"/>
          <w:szCs w:val="20"/>
        </w:rPr>
        <w:lastRenderedPageBreak/>
        <w:t>Sensitivity:</w:t>
      </w:r>
      <w:r>
        <w:rPr>
          <w:rFonts w:ascii="Arial" w:hAnsi="Arial" w:cs="Arial"/>
          <w:sz w:val="20"/>
          <w:szCs w:val="20"/>
        </w:rPr>
        <w:t xml:space="preserve">  &lt;10 </w:t>
      </w:r>
      <w:proofErr w:type="spellStart"/>
      <w:r>
        <w:rPr>
          <w:rFonts w:ascii="Arial" w:hAnsi="Arial" w:cs="Arial"/>
          <w:sz w:val="20"/>
          <w:szCs w:val="20"/>
        </w:rPr>
        <w:t>pg</w:t>
      </w:r>
      <w:proofErr w:type="spellEnd"/>
      <w:r>
        <w:rPr>
          <w:rFonts w:ascii="Arial" w:hAnsi="Arial" w:cs="Arial"/>
          <w:sz w:val="20"/>
          <w:szCs w:val="20"/>
        </w:rPr>
        <w:t>/ml</w:t>
      </w:r>
    </w:p>
    <w:p w14:paraId="09738953" w14:textId="3067D9CB" w:rsidR="00D33727" w:rsidRDefault="00D33727" w:rsidP="00DE243D">
      <w:pPr>
        <w:rPr>
          <w:rFonts w:ascii="Arial" w:hAnsi="Arial" w:cs="Arial"/>
          <w:sz w:val="20"/>
          <w:szCs w:val="20"/>
        </w:rPr>
      </w:pPr>
    </w:p>
    <w:p w14:paraId="59E11233" w14:textId="6D507CDE" w:rsidR="00D33727" w:rsidRDefault="00D33727" w:rsidP="003D0C0E">
      <w:pPr>
        <w:rPr>
          <w:rFonts w:ascii="Arial" w:hAnsi="Arial" w:cs="Arial"/>
          <w:sz w:val="20"/>
          <w:szCs w:val="20"/>
        </w:rPr>
      </w:pPr>
      <w:r w:rsidRPr="00D33727">
        <w:rPr>
          <w:rFonts w:ascii="Arial" w:hAnsi="Arial" w:cs="Arial"/>
          <w:b/>
          <w:sz w:val="20"/>
          <w:szCs w:val="20"/>
        </w:rPr>
        <w:t>Additional information:</w:t>
      </w:r>
      <w:r>
        <w:rPr>
          <w:rFonts w:ascii="Arial" w:hAnsi="Arial" w:cs="Arial"/>
          <w:sz w:val="20"/>
          <w:szCs w:val="20"/>
        </w:rPr>
        <w:t xml:space="preserve">  Direct bioluminescence-linked ELISA</w:t>
      </w:r>
      <w:r w:rsidR="009C43B7">
        <w:rPr>
          <w:rFonts w:ascii="Arial" w:hAnsi="Arial" w:cs="Arial"/>
          <w:sz w:val="20"/>
          <w:szCs w:val="20"/>
        </w:rPr>
        <w:t xml:space="preserve">, ultrasensitive detection using </w:t>
      </w:r>
      <w:proofErr w:type="spellStart"/>
      <w:r w:rsidR="009C43B7">
        <w:rPr>
          <w:rFonts w:ascii="Arial" w:hAnsi="Arial" w:cs="Arial"/>
          <w:sz w:val="20"/>
          <w:szCs w:val="20"/>
        </w:rPr>
        <w:t>Gaussia</w:t>
      </w:r>
      <w:proofErr w:type="spellEnd"/>
      <w:r w:rsidR="009C43B7">
        <w:rPr>
          <w:rFonts w:ascii="Arial" w:hAnsi="Arial" w:cs="Arial"/>
          <w:sz w:val="20"/>
          <w:szCs w:val="20"/>
        </w:rPr>
        <w:t xml:space="preserve"> luciferase (to detect </w:t>
      </w:r>
    </w:p>
    <w:p w14:paraId="43D343F7" w14:textId="15134DF0" w:rsidR="009C43B7" w:rsidRPr="00D33727" w:rsidRDefault="009C43B7" w:rsidP="003D0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SARS-CoV2 spike protein) and </w:t>
      </w:r>
      <w:proofErr w:type="spellStart"/>
      <w:r>
        <w:rPr>
          <w:rFonts w:ascii="Arial" w:hAnsi="Arial" w:cs="Arial"/>
          <w:sz w:val="20"/>
          <w:szCs w:val="20"/>
        </w:rPr>
        <w:t>Cypridina</w:t>
      </w:r>
      <w:proofErr w:type="spellEnd"/>
      <w:r>
        <w:rPr>
          <w:rFonts w:ascii="Arial" w:hAnsi="Arial" w:cs="Arial"/>
          <w:sz w:val="20"/>
          <w:szCs w:val="20"/>
        </w:rPr>
        <w:t xml:space="preserve"> luciferase to detect the SARS-CoV2 N protein</w:t>
      </w:r>
    </w:p>
    <w:tbl>
      <w:tblPr>
        <w:tblW w:w="12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8859"/>
      </w:tblGrid>
      <w:tr w:rsidR="00D33727" w:rsidRPr="00D33727" w14:paraId="04FA2FC2" w14:textId="77777777" w:rsidTr="00D33727">
        <w:trPr>
          <w:tblCellSpacing w:w="15" w:type="dxa"/>
        </w:trPr>
        <w:tc>
          <w:tcPr>
            <w:tcW w:w="3816" w:type="dxa"/>
            <w:tcBorders>
              <w:bottom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C07E1" w14:textId="4CA09CB6" w:rsidR="00D3372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13131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8D1A7" wp14:editId="0DDCA48E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8255</wp:posOffset>
                      </wp:positionV>
                      <wp:extent cx="5772150" cy="581660"/>
                      <wp:effectExtent l="0" t="0" r="6350" b="25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581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676ECC" w14:textId="3D718154" w:rsidR="009C43B7" w:rsidRDefault="009C43B7">
                                  <w:r w:rsidRPr="00D33727">
                                    <w:rPr>
                                      <w:rFonts w:ascii="Arial" w:hAnsi="Arial" w:cs="Arial"/>
                                      <w:color w:val="131313"/>
                                      <w:sz w:val="22"/>
                                      <w:szCs w:val="22"/>
                                    </w:rPr>
                                    <w:t>Matrices listed below were spiked with certain level of Human anti-SARS-CoV2 (N) IgG and the recovery rates were calculated by comparing the measured value to the expected amount of Human anti-SARS-CoV2 (N) IgG in samples. Enquire for more information.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8D1A7" id="Text Box 9" o:spid="_x0000_s1027" type="#_x0000_t202" style="position:absolute;margin-left:78.85pt;margin-top:.65pt;width:454.5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" fillcolor="white [3201]" stroked="f" strokeweight=".5pt">
                      <v:textbox>
                        <w:txbxContent>
                          <w:p w14:paraId="32676ECC" w14:textId="3D718154" w:rsidR="009C43B7" w:rsidRDefault="009C43B7">
                            <w:r w:rsidRPr="00D33727">
                              <w:rPr>
                                <w:rFonts w:ascii="Arial" w:hAnsi="Arial" w:cs="Arial"/>
                                <w:color w:val="131313"/>
                                <w:sz w:val="22"/>
                                <w:szCs w:val="22"/>
                              </w:rPr>
                              <w:t>Matrices listed below were spiked with certain level of Human anti-SARS-CoV2 (N) IgG and the recovery rates were calculated by comparing the measured value to the expected amount of Human anti-SARS-CoV2 (N) IgG in samples. Enquire for more information.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3727" w:rsidRPr="00D33727"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  <w:t>Recovery:</w:t>
            </w:r>
            <w: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  <w:t xml:space="preserve"> </w:t>
            </w:r>
          </w:p>
          <w:p w14:paraId="466C1CE5" w14:textId="77777777" w:rsidR="009C43B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</w:p>
          <w:p w14:paraId="2A840226" w14:textId="2B571277" w:rsidR="009C43B7" w:rsidRPr="00D3372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ECECEC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5533A8E" w14:textId="3A3F1CB6" w:rsidR="00D33727" w:rsidRPr="00D33727" w:rsidRDefault="00D33727" w:rsidP="00D33727">
            <w:pPr>
              <w:rPr>
                <w:rFonts w:ascii="Arial" w:hAnsi="Arial" w:cs="Arial"/>
                <w:color w:val="131313"/>
                <w:sz w:val="22"/>
                <w:szCs w:val="22"/>
              </w:rPr>
            </w:pPr>
          </w:p>
        </w:tc>
      </w:tr>
      <w:tr w:rsidR="00D33727" w:rsidRPr="00D33727" w14:paraId="44790ACB" w14:textId="77777777" w:rsidTr="00D33727">
        <w:trPr>
          <w:tblCellSpacing w:w="15" w:type="dxa"/>
        </w:trPr>
        <w:tc>
          <w:tcPr>
            <w:tcW w:w="3816" w:type="dxa"/>
            <w:tcBorders>
              <w:bottom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6283F" w14:textId="77777777" w:rsidR="009C43B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</w:p>
          <w:p w14:paraId="0D06D49C" w14:textId="467B3DFF" w:rsidR="00D33727" w:rsidRPr="00D3372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13131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4C3CB" wp14:editId="781980CA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-74930</wp:posOffset>
                      </wp:positionV>
                      <wp:extent cx="5975350" cy="609600"/>
                      <wp:effectExtent l="0" t="0" r="635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53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CAAEA" w14:textId="7B72F822" w:rsidR="009C43B7" w:rsidRDefault="009C43B7">
                                  <w:r w:rsidRPr="00D33727">
                                    <w:rPr>
                                      <w:rFonts w:ascii="Arial" w:hAnsi="Arial" w:cs="Arial"/>
                                      <w:color w:val="131313"/>
                                      <w:sz w:val="22"/>
                                      <w:szCs w:val="22"/>
                                    </w:rPr>
                                    <w:t>The linearity of the kit was assayed by testing samples spiked with appropriate concentration of Human anti-SARS-CoV2 (N) IgG and their serial dilutions. The results were demonstrated by the percentage of calculated concentration to the expected. Enquire for more information.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4C3CB" id="Text Box 7" o:spid="_x0000_s1028" type="#_x0000_t202" style="position:absolute;margin-left:78.85pt;margin-top:-5.9pt;width:47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" fillcolor="white [3201]" stroked="f" strokeweight=".5pt">
                      <v:textbox>
                        <w:txbxContent>
                          <w:p w14:paraId="6F7CAAEA" w14:textId="7B72F822" w:rsidR="009C43B7" w:rsidRDefault="009C43B7">
                            <w:r w:rsidRPr="00D33727">
                              <w:rPr>
                                <w:rFonts w:ascii="Arial" w:hAnsi="Arial" w:cs="Arial"/>
                                <w:color w:val="131313"/>
                                <w:sz w:val="22"/>
                                <w:szCs w:val="22"/>
                              </w:rPr>
                              <w:t>The linearity of the kit was assayed by testing samples spiked with appropriate concentration of Human anti-SARS-CoV2 (N) IgG and their serial dilutions. The results were demonstrated by the percentage of calculated concentration to the expected. Enquire for more information.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3727" w:rsidRPr="00D33727"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  <w:t>Linearity: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A1721D0" w14:textId="6A7A8BCD" w:rsidR="00D33727" w:rsidRPr="00D33727" w:rsidRDefault="00D33727" w:rsidP="00D33727">
            <w:pPr>
              <w:rPr>
                <w:rFonts w:ascii="Arial" w:hAnsi="Arial" w:cs="Arial"/>
                <w:color w:val="131313"/>
                <w:sz w:val="22"/>
                <w:szCs w:val="22"/>
              </w:rPr>
            </w:pPr>
          </w:p>
        </w:tc>
      </w:tr>
      <w:tr w:rsidR="009C43B7" w:rsidRPr="00D33727" w14:paraId="76B2D665" w14:textId="77777777" w:rsidTr="00D33727">
        <w:trPr>
          <w:gridAfter w:val="1"/>
          <w:tblCellSpacing w:w="15" w:type="dxa"/>
        </w:trPr>
        <w:tc>
          <w:tcPr>
            <w:tcW w:w="3816" w:type="dxa"/>
            <w:tcBorders>
              <w:bottom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54586" w14:textId="77777777" w:rsidR="009C43B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</w:p>
          <w:p w14:paraId="78FD5AEA" w14:textId="7CF16E26" w:rsidR="009C43B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13131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BA070" wp14:editId="6DD170DD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124460</wp:posOffset>
                      </wp:positionV>
                      <wp:extent cx="5772150" cy="443230"/>
                      <wp:effectExtent l="0" t="0" r="6350" b="12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9B05C" w14:textId="26A67737" w:rsidR="009C43B7" w:rsidRPr="00D33727" w:rsidRDefault="009C43B7" w:rsidP="009C43B7">
                                  <w:pPr>
                                    <w:rPr>
                                      <w:rFonts w:ascii="Arial" w:hAnsi="Arial" w:cs="Arial"/>
                                      <w:color w:val="131313"/>
                                      <w:sz w:val="22"/>
                                      <w:szCs w:val="22"/>
                                    </w:rPr>
                                  </w:pPr>
                                  <w:r w:rsidRPr="00D33727">
                                    <w:rPr>
                                      <w:rFonts w:ascii="Arial" w:hAnsi="Arial" w:cs="Arial"/>
                                      <w:color w:val="131313"/>
                                      <w:sz w:val="22"/>
                                      <w:szCs w:val="22"/>
                                    </w:rPr>
                                    <w:t>Intra-Assay: CV&lt;8%</w:t>
                                  </w:r>
                                  <w:r w:rsidRPr="00D33727">
                                    <w:rPr>
                                      <w:rFonts w:ascii="Arial" w:hAnsi="Arial" w:cs="Arial"/>
                                      <w:color w:val="131313"/>
                                      <w:sz w:val="22"/>
                                      <w:szCs w:val="22"/>
                                    </w:rPr>
                                    <w:br/>
                                    <w:t>Inter-Assay: CV&lt;1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31313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33727">
                                    <w:rPr>
                                      <w:rFonts w:ascii="Arial" w:hAnsi="Arial" w:cs="Arial"/>
                                      <w:color w:val="131313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3C1042F1" w14:textId="77777777" w:rsidR="009C43B7" w:rsidRDefault="009C43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BA070" id="Text Box 8" o:spid="_x0000_s1029" type="#_x0000_t202" style="position:absolute;margin-left:78.85pt;margin-top:9.8pt;width:454.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" fillcolor="white [3201]" stroked="f" strokeweight=".5pt">
                      <v:textbox>
                        <w:txbxContent>
                          <w:p w14:paraId="51F9B05C" w14:textId="26A67737" w:rsidR="009C43B7" w:rsidRPr="00D33727" w:rsidRDefault="009C43B7" w:rsidP="009C43B7">
                            <w:pPr>
                              <w:rPr>
                                <w:rFonts w:ascii="Arial" w:hAnsi="Arial" w:cs="Arial"/>
                                <w:color w:val="131313"/>
                                <w:sz w:val="22"/>
                                <w:szCs w:val="22"/>
                              </w:rPr>
                            </w:pPr>
                            <w:r w:rsidRPr="00D33727">
                              <w:rPr>
                                <w:rFonts w:ascii="Arial" w:hAnsi="Arial" w:cs="Arial"/>
                                <w:color w:val="131313"/>
                                <w:sz w:val="22"/>
                                <w:szCs w:val="22"/>
                              </w:rPr>
                              <w:t>Intra-Assay: CV&lt;8%</w:t>
                            </w:r>
                            <w:r w:rsidRPr="00D33727">
                              <w:rPr>
                                <w:rFonts w:ascii="Arial" w:hAnsi="Arial" w:cs="Arial"/>
                                <w:color w:val="131313"/>
                                <w:sz w:val="22"/>
                                <w:szCs w:val="22"/>
                              </w:rPr>
                              <w:br/>
                              <w:t>Inter-Assay: CV&lt;1</w:t>
                            </w:r>
                            <w:r>
                              <w:rPr>
                                <w:rFonts w:ascii="Arial" w:hAnsi="Arial" w:cs="Arial"/>
                                <w:color w:val="131313"/>
                                <w:sz w:val="22"/>
                                <w:szCs w:val="22"/>
                              </w:rPr>
                              <w:t>2</w:t>
                            </w:r>
                            <w:r w:rsidRPr="00D33727">
                              <w:rPr>
                                <w:rFonts w:ascii="Arial" w:hAnsi="Arial" w:cs="Arial"/>
                                <w:color w:val="131313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3C1042F1" w14:textId="77777777" w:rsidR="009C43B7" w:rsidRDefault="009C43B7"/>
                        </w:txbxContent>
                      </v:textbox>
                    </v:shape>
                  </w:pict>
                </mc:Fallback>
              </mc:AlternateContent>
            </w:r>
          </w:p>
          <w:p w14:paraId="72685636" w14:textId="27C03D05" w:rsidR="009C43B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</w:p>
          <w:p w14:paraId="14F1B5C5" w14:textId="5389C57F" w:rsidR="009C43B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  <w:proofErr w:type="gramStart"/>
            <w:r w:rsidRPr="00D33727"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  <w:t>CV(</w:t>
            </w:r>
            <w:proofErr w:type="gramEnd"/>
            <w:r w:rsidRPr="00D33727"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  <w:t>%):</w:t>
            </w:r>
            <w: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  <w:t xml:space="preserve">        </w:t>
            </w:r>
          </w:p>
          <w:p w14:paraId="30654596" w14:textId="382B6602" w:rsidR="009C43B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</w:p>
          <w:p w14:paraId="73F51E62" w14:textId="77777777" w:rsidR="009C43B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</w:p>
          <w:p w14:paraId="729FEC9A" w14:textId="533551D3" w:rsidR="009C43B7" w:rsidRPr="00D33727" w:rsidRDefault="009C43B7" w:rsidP="00D33727">
            <w:pPr>
              <w:rPr>
                <w:rFonts w:ascii="Arial" w:hAnsi="Arial" w:cs="Arial"/>
                <w:b/>
                <w:bCs/>
                <w:color w:val="131313"/>
                <w:sz w:val="22"/>
                <w:szCs w:val="22"/>
              </w:rPr>
            </w:pPr>
          </w:p>
        </w:tc>
      </w:tr>
    </w:tbl>
    <w:p w14:paraId="79CA5055" w14:textId="6E9A9BD4" w:rsidR="009C43B7" w:rsidRPr="000D05E0" w:rsidRDefault="00916954" w:rsidP="00916954">
      <w:pPr>
        <w:pStyle w:val="NormalWeb"/>
        <w:rPr>
          <w:rFonts w:ascii="Arial" w:hAnsi="Arial" w:cs="Arial"/>
          <w:b/>
          <w:sz w:val="22"/>
          <w:szCs w:val="22"/>
        </w:rPr>
      </w:pPr>
      <w:r w:rsidRPr="000D05E0">
        <w:rPr>
          <w:rFonts w:ascii="Arial" w:hAnsi="Arial" w:cs="Arial"/>
          <w:b/>
          <w:sz w:val="22"/>
          <w:szCs w:val="22"/>
        </w:rPr>
        <w:t>KIT COMPONENTS</w:t>
      </w:r>
    </w:p>
    <w:p w14:paraId="57632B34" w14:textId="1A776CBF" w:rsidR="00916954" w:rsidRPr="000D05E0" w:rsidRDefault="00916954" w:rsidP="00916954">
      <w:pPr>
        <w:pStyle w:val="NormalWeb"/>
        <w:rPr>
          <w:rFonts w:ascii="Arial" w:hAnsi="Arial" w:cs="Arial"/>
        </w:rPr>
      </w:pPr>
      <w:r w:rsidRPr="000D05E0">
        <w:rPr>
          <w:rFonts w:ascii="Arial" w:hAnsi="Arial" w:cs="Arial"/>
          <w:sz w:val="22"/>
          <w:szCs w:val="22"/>
        </w:rPr>
        <w:t xml:space="preserve">Warning: </w:t>
      </w:r>
      <w:r w:rsidRPr="000D05E0">
        <w:rPr>
          <w:rFonts w:ascii="Arial" w:hAnsi="Arial" w:cs="Arial"/>
          <w:b/>
          <w:bCs/>
          <w:sz w:val="22"/>
          <w:szCs w:val="22"/>
        </w:rPr>
        <w:t xml:space="preserve">Do not use any reagents where damage to the packaging has occurred. </w:t>
      </w:r>
    </w:p>
    <w:p w14:paraId="14300CEA" w14:textId="41B510ED" w:rsidR="00916954" w:rsidRPr="000D05E0" w:rsidRDefault="00916954" w:rsidP="00916954">
      <w:pPr>
        <w:pStyle w:val="NormalWeb"/>
        <w:rPr>
          <w:rFonts w:ascii="Arial" w:hAnsi="Arial" w:cs="Arial"/>
        </w:rPr>
      </w:pPr>
      <w:r w:rsidRPr="000D05E0">
        <w:rPr>
          <w:rFonts w:ascii="Arial" w:hAnsi="Arial" w:cs="Arial"/>
          <w:sz w:val="22"/>
          <w:szCs w:val="22"/>
        </w:rPr>
        <w:t xml:space="preserve">The kit contains the following reagents: </w:t>
      </w:r>
    </w:p>
    <w:p w14:paraId="3D517CC6" w14:textId="035BD0C0" w:rsidR="009C43B7" w:rsidRPr="002E6CFD" w:rsidRDefault="009A455B" w:rsidP="002E6CFD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Protein G-coated </w:t>
      </w:r>
      <w:r w:rsidR="009C43B7">
        <w:rPr>
          <w:rFonts w:ascii="Arial" w:hAnsi="Arial" w:cs="Arial"/>
          <w:sz w:val="22"/>
          <w:szCs w:val="22"/>
        </w:rPr>
        <w:t xml:space="preserve">ELISA </w:t>
      </w:r>
      <w:r>
        <w:rPr>
          <w:rFonts w:ascii="Arial" w:hAnsi="Arial" w:cs="Arial"/>
          <w:b/>
          <w:bCs/>
          <w:sz w:val="22"/>
          <w:szCs w:val="22"/>
        </w:rPr>
        <w:t xml:space="preserve">microplate </w:t>
      </w:r>
      <w:r w:rsidRPr="000D05E0">
        <w:rPr>
          <w:rFonts w:ascii="Arial" w:hAnsi="Arial" w:cs="Arial"/>
          <w:sz w:val="22"/>
          <w:szCs w:val="22"/>
        </w:rPr>
        <w:t xml:space="preserve">in a resealable foil pouch, containing 96 polystyrene microtiter wells coated with </w:t>
      </w:r>
      <w:r>
        <w:rPr>
          <w:rFonts w:ascii="Arial" w:hAnsi="Arial" w:cs="Arial"/>
          <w:sz w:val="22"/>
          <w:szCs w:val="22"/>
        </w:rPr>
        <w:t xml:space="preserve">Protein G </w:t>
      </w:r>
      <w:r w:rsidRPr="000D05E0">
        <w:rPr>
          <w:rFonts w:ascii="Arial" w:hAnsi="Arial" w:cs="Arial"/>
          <w:sz w:val="22"/>
          <w:szCs w:val="22"/>
        </w:rPr>
        <w:t xml:space="preserve">in each well. Stable at 2-8°C until the expiration date. </w:t>
      </w:r>
      <w:r w:rsidR="00DD5A83">
        <w:rPr>
          <w:rFonts w:ascii="Arial" w:hAnsi="Arial" w:cs="Arial"/>
          <w:sz w:val="22"/>
          <w:szCs w:val="22"/>
        </w:rPr>
        <w:t xml:space="preserve"> Storage: 4 </w:t>
      </w:r>
      <w:r w:rsidR="00DD5A83" w:rsidRPr="00DD5A83">
        <w:rPr>
          <w:rFonts w:ascii="Arial" w:hAnsi="Arial" w:cs="Arial"/>
          <w:sz w:val="22"/>
          <w:szCs w:val="22"/>
          <w:vertAlign w:val="superscript"/>
        </w:rPr>
        <w:t>o</w:t>
      </w:r>
      <w:r w:rsidR="00DD5A83">
        <w:rPr>
          <w:rFonts w:ascii="Arial" w:hAnsi="Arial" w:cs="Arial"/>
          <w:sz w:val="22"/>
          <w:szCs w:val="22"/>
        </w:rPr>
        <w:t xml:space="preserve"> C for 6 months</w:t>
      </w:r>
    </w:p>
    <w:p w14:paraId="51FDCBB4" w14:textId="2DF25202" w:rsidR="009A455B" w:rsidRDefault="009A455B" w:rsidP="009A455B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D05E0">
        <w:rPr>
          <w:rFonts w:ascii="Arial" w:hAnsi="Arial" w:cs="Arial"/>
          <w:b/>
          <w:bCs/>
          <w:sz w:val="22"/>
          <w:szCs w:val="22"/>
        </w:rPr>
        <w:t>10X Detection Probe</w:t>
      </w:r>
      <w:r w:rsidR="00310980">
        <w:rPr>
          <w:rFonts w:ascii="Arial" w:hAnsi="Arial" w:cs="Arial"/>
          <w:b/>
          <w:bCs/>
          <w:sz w:val="22"/>
          <w:szCs w:val="22"/>
        </w:rPr>
        <w:t xml:space="preserve"> for detecting antibodies to the SARS-COV2-2 N protein</w:t>
      </w:r>
      <w:r w:rsidR="00E35D29">
        <w:rPr>
          <w:rFonts w:ascii="Arial" w:hAnsi="Arial" w:cs="Arial"/>
          <w:b/>
          <w:bCs/>
          <w:sz w:val="22"/>
          <w:szCs w:val="22"/>
        </w:rPr>
        <w:t xml:space="preserve"> and Spike protein</w:t>
      </w:r>
      <w:r w:rsidRPr="000D05E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0D05E0">
        <w:rPr>
          <w:rFonts w:ascii="Arial" w:hAnsi="Arial" w:cs="Arial"/>
          <w:sz w:val="22"/>
          <w:szCs w:val="22"/>
        </w:rPr>
        <w:t>O</w:t>
      </w:r>
      <w:r w:rsidR="00E35D29">
        <w:rPr>
          <w:rFonts w:ascii="Arial" w:hAnsi="Arial" w:cs="Arial"/>
          <w:sz w:val="22"/>
          <w:szCs w:val="22"/>
        </w:rPr>
        <w:t>ne vial (500 ul</w:t>
      </w:r>
      <w:proofErr w:type="gramStart"/>
      <w:r w:rsidR="00E35D29">
        <w:rPr>
          <w:rFonts w:ascii="Arial" w:hAnsi="Arial" w:cs="Arial"/>
          <w:sz w:val="22"/>
          <w:szCs w:val="22"/>
        </w:rPr>
        <w:t xml:space="preserve">) </w:t>
      </w:r>
      <w:r w:rsidRPr="000D05E0">
        <w:rPr>
          <w:rFonts w:ascii="Arial" w:hAnsi="Arial" w:cs="Arial"/>
          <w:sz w:val="22"/>
          <w:szCs w:val="22"/>
        </w:rPr>
        <w:t>.</w:t>
      </w:r>
      <w:proofErr w:type="gramEnd"/>
      <w:r w:rsidRPr="000D05E0">
        <w:rPr>
          <w:rFonts w:ascii="Arial" w:hAnsi="Arial" w:cs="Arial"/>
          <w:sz w:val="22"/>
          <w:szCs w:val="22"/>
        </w:rPr>
        <w:t xml:space="preserve"> Stable at </w:t>
      </w:r>
      <w:r w:rsidR="00310980">
        <w:rPr>
          <w:rFonts w:ascii="Arial" w:hAnsi="Arial" w:cs="Arial"/>
          <w:sz w:val="22"/>
          <w:szCs w:val="22"/>
        </w:rPr>
        <w:t>-20</w:t>
      </w:r>
      <w:r w:rsidRPr="000D05E0">
        <w:rPr>
          <w:rFonts w:ascii="Arial" w:hAnsi="Arial" w:cs="Arial"/>
          <w:sz w:val="22"/>
          <w:szCs w:val="22"/>
        </w:rPr>
        <w:t xml:space="preserve">°C until the expiration date. </w:t>
      </w:r>
      <w:r w:rsidR="00E35D29">
        <w:rPr>
          <w:rFonts w:ascii="Arial" w:hAnsi="Arial" w:cs="Arial"/>
          <w:sz w:val="22"/>
          <w:szCs w:val="22"/>
        </w:rPr>
        <w:t xml:space="preserve"> The detection probe for the nucleocapsid antibody is a Luciferase-SARS-CoV2--Nucleocapsid </w:t>
      </w:r>
      <w:proofErr w:type="spellStart"/>
      <w:r w:rsidR="00E35D29">
        <w:rPr>
          <w:rFonts w:ascii="Arial" w:hAnsi="Arial" w:cs="Arial"/>
          <w:sz w:val="22"/>
          <w:szCs w:val="22"/>
        </w:rPr>
        <w:t>Cypridina</w:t>
      </w:r>
      <w:proofErr w:type="spellEnd"/>
      <w:r w:rsidR="00E35D29">
        <w:rPr>
          <w:rFonts w:ascii="Arial" w:hAnsi="Arial" w:cs="Arial"/>
          <w:sz w:val="22"/>
          <w:szCs w:val="22"/>
        </w:rPr>
        <w:t xml:space="preserve"> Luciferase fusion protein. The detection probe for the spike protein antibody is a </w:t>
      </w:r>
      <w:proofErr w:type="spellStart"/>
      <w:r w:rsidR="00E35D29">
        <w:rPr>
          <w:rFonts w:ascii="Arial" w:hAnsi="Arial" w:cs="Arial"/>
          <w:sz w:val="22"/>
          <w:szCs w:val="22"/>
        </w:rPr>
        <w:t>Gauusia</w:t>
      </w:r>
      <w:proofErr w:type="spellEnd"/>
      <w:r w:rsidR="00E35D29">
        <w:rPr>
          <w:rFonts w:ascii="Arial" w:hAnsi="Arial" w:cs="Arial"/>
          <w:sz w:val="22"/>
          <w:szCs w:val="22"/>
        </w:rPr>
        <w:t xml:space="preserve"> Luciferase -SARS-CoV2- Spike protein (full length).  The detection probe is diluted 10-fold with Buffer 1 just before use</w:t>
      </w:r>
      <w:r w:rsidR="00DD5A83">
        <w:rPr>
          <w:rFonts w:ascii="Arial" w:hAnsi="Arial" w:cs="Arial"/>
          <w:sz w:val="22"/>
          <w:szCs w:val="22"/>
        </w:rPr>
        <w:t>.</w:t>
      </w:r>
      <w:r w:rsidR="00DD5A83" w:rsidRPr="00DD5A83">
        <w:rPr>
          <w:rFonts w:ascii="Arial" w:hAnsi="Arial" w:cs="Arial"/>
          <w:sz w:val="22"/>
          <w:szCs w:val="22"/>
        </w:rPr>
        <w:t xml:space="preserve"> </w:t>
      </w:r>
      <w:r w:rsidR="00DD5A83">
        <w:rPr>
          <w:rFonts w:ascii="Arial" w:hAnsi="Arial" w:cs="Arial"/>
          <w:sz w:val="22"/>
          <w:szCs w:val="22"/>
        </w:rPr>
        <w:t>Storage: -80</w:t>
      </w:r>
      <w:r w:rsidR="00DD5A83" w:rsidRPr="00DD5A83">
        <w:rPr>
          <w:rFonts w:ascii="Arial" w:hAnsi="Arial" w:cs="Arial"/>
          <w:sz w:val="22"/>
          <w:szCs w:val="22"/>
          <w:vertAlign w:val="superscript"/>
        </w:rPr>
        <w:t>o</w:t>
      </w:r>
      <w:r w:rsidR="00DD5A83">
        <w:rPr>
          <w:rFonts w:ascii="Arial" w:hAnsi="Arial" w:cs="Arial"/>
          <w:sz w:val="22"/>
          <w:szCs w:val="22"/>
        </w:rPr>
        <w:t xml:space="preserve"> C for 6 months</w:t>
      </w:r>
    </w:p>
    <w:p w14:paraId="1D8A6B11" w14:textId="20837852" w:rsidR="00310980" w:rsidRDefault="00916954" w:rsidP="00916954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D05E0">
        <w:rPr>
          <w:rFonts w:ascii="Arial" w:hAnsi="Arial" w:cs="Arial"/>
          <w:b/>
          <w:bCs/>
          <w:sz w:val="22"/>
          <w:szCs w:val="22"/>
        </w:rPr>
        <w:t>Buffer</w:t>
      </w:r>
      <w:r w:rsidR="00310980">
        <w:rPr>
          <w:rFonts w:ascii="Arial" w:hAnsi="Arial" w:cs="Arial"/>
          <w:b/>
          <w:bCs/>
          <w:sz w:val="22"/>
          <w:szCs w:val="22"/>
        </w:rPr>
        <w:t xml:space="preserve"> 1</w:t>
      </w:r>
      <w:r w:rsidRPr="000D05E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0D05E0">
        <w:rPr>
          <w:rFonts w:ascii="Arial" w:hAnsi="Arial" w:cs="Arial"/>
          <w:sz w:val="22"/>
          <w:szCs w:val="22"/>
        </w:rPr>
        <w:t xml:space="preserve">One bottle, </w:t>
      </w:r>
      <w:r w:rsidR="00E35D29">
        <w:rPr>
          <w:rFonts w:ascii="Arial" w:hAnsi="Arial" w:cs="Arial"/>
          <w:sz w:val="22"/>
          <w:szCs w:val="22"/>
        </w:rPr>
        <w:t>10</w:t>
      </w:r>
      <w:r w:rsidRPr="000D05E0">
        <w:rPr>
          <w:rFonts w:ascii="Arial" w:hAnsi="Arial" w:cs="Arial"/>
          <w:sz w:val="22"/>
          <w:szCs w:val="22"/>
        </w:rPr>
        <w:t>0 m</w:t>
      </w:r>
      <w:r w:rsidR="00DD5A83">
        <w:rPr>
          <w:rFonts w:ascii="Arial" w:hAnsi="Arial" w:cs="Arial"/>
          <w:sz w:val="22"/>
          <w:szCs w:val="22"/>
        </w:rPr>
        <w:t>l</w:t>
      </w:r>
      <w:r w:rsidRPr="000D05E0">
        <w:rPr>
          <w:rFonts w:ascii="Arial" w:hAnsi="Arial" w:cs="Arial"/>
          <w:sz w:val="22"/>
          <w:szCs w:val="22"/>
        </w:rPr>
        <w:t xml:space="preserve">. </w:t>
      </w:r>
      <w:r w:rsidR="00DD5A83">
        <w:rPr>
          <w:rFonts w:ascii="Arial" w:hAnsi="Arial" w:cs="Arial"/>
          <w:sz w:val="22"/>
          <w:szCs w:val="22"/>
        </w:rPr>
        <w:t xml:space="preserve">Storage: 4 </w:t>
      </w:r>
      <w:r w:rsidR="00DD5A83" w:rsidRPr="00DD5A83">
        <w:rPr>
          <w:rFonts w:ascii="Arial" w:hAnsi="Arial" w:cs="Arial"/>
          <w:sz w:val="22"/>
          <w:szCs w:val="22"/>
          <w:vertAlign w:val="superscript"/>
        </w:rPr>
        <w:t>o</w:t>
      </w:r>
      <w:r w:rsidR="00DD5A83">
        <w:rPr>
          <w:rFonts w:ascii="Arial" w:hAnsi="Arial" w:cs="Arial"/>
          <w:sz w:val="22"/>
          <w:szCs w:val="22"/>
        </w:rPr>
        <w:t xml:space="preserve"> C for 6 months</w:t>
      </w:r>
    </w:p>
    <w:p w14:paraId="39262EBA" w14:textId="464ED00B" w:rsidR="00916954" w:rsidRDefault="00310980" w:rsidP="00916954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Buffer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D05E0">
        <w:rPr>
          <w:rFonts w:ascii="Arial" w:hAnsi="Arial" w:cs="Arial"/>
          <w:sz w:val="22"/>
          <w:szCs w:val="22"/>
        </w:rPr>
        <w:t xml:space="preserve">One bottle, </w:t>
      </w:r>
      <w:r w:rsidR="00E35D29">
        <w:rPr>
          <w:rFonts w:ascii="Arial" w:hAnsi="Arial" w:cs="Arial"/>
          <w:sz w:val="22"/>
          <w:szCs w:val="22"/>
        </w:rPr>
        <w:t>5</w:t>
      </w:r>
      <w:r w:rsidRPr="000D05E0">
        <w:rPr>
          <w:rFonts w:ascii="Arial" w:hAnsi="Arial" w:cs="Arial"/>
          <w:sz w:val="22"/>
          <w:szCs w:val="22"/>
        </w:rPr>
        <w:t>0 mL</w:t>
      </w:r>
      <w:r>
        <w:rPr>
          <w:rFonts w:ascii="Arial" w:hAnsi="Arial" w:cs="Arial"/>
          <w:sz w:val="22"/>
          <w:szCs w:val="22"/>
        </w:rPr>
        <w:t xml:space="preserve"> (</w:t>
      </w:r>
      <w:r w:rsidR="00DD5A83">
        <w:rPr>
          <w:rFonts w:ascii="Arial" w:hAnsi="Arial" w:cs="Arial"/>
          <w:sz w:val="22"/>
          <w:szCs w:val="22"/>
        </w:rPr>
        <w:t xml:space="preserve">used as wash buffer and </w:t>
      </w:r>
      <w:r>
        <w:rPr>
          <w:rFonts w:ascii="Arial" w:hAnsi="Arial" w:cs="Arial"/>
          <w:sz w:val="22"/>
          <w:szCs w:val="22"/>
        </w:rPr>
        <w:t>detection probe</w:t>
      </w:r>
      <w:r w:rsidR="00DD5A83">
        <w:rPr>
          <w:rFonts w:ascii="Arial" w:hAnsi="Arial" w:cs="Arial"/>
          <w:sz w:val="22"/>
          <w:szCs w:val="22"/>
        </w:rPr>
        <w:t xml:space="preserve"> dilution buffer</w:t>
      </w:r>
      <w:r>
        <w:rPr>
          <w:rFonts w:ascii="Arial" w:hAnsi="Arial" w:cs="Arial"/>
          <w:sz w:val="22"/>
          <w:szCs w:val="22"/>
        </w:rPr>
        <w:t>)</w:t>
      </w:r>
      <w:r w:rsidR="00DD5A83">
        <w:rPr>
          <w:rFonts w:ascii="Arial" w:hAnsi="Arial" w:cs="Arial"/>
          <w:sz w:val="22"/>
          <w:szCs w:val="22"/>
        </w:rPr>
        <w:t xml:space="preserve">. Storage: 4 </w:t>
      </w:r>
      <w:r w:rsidR="00DD5A83" w:rsidRPr="00DD5A83">
        <w:rPr>
          <w:rFonts w:ascii="Arial" w:hAnsi="Arial" w:cs="Arial"/>
          <w:sz w:val="22"/>
          <w:szCs w:val="22"/>
          <w:vertAlign w:val="superscript"/>
        </w:rPr>
        <w:t>o</w:t>
      </w:r>
      <w:r w:rsidR="00DD5A83">
        <w:rPr>
          <w:rFonts w:ascii="Arial" w:hAnsi="Arial" w:cs="Arial"/>
          <w:sz w:val="22"/>
          <w:szCs w:val="22"/>
        </w:rPr>
        <w:t xml:space="preserve"> C for 6 months. Storage: 4 </w:t>
      </w:r>
      <w:r w:rsidR="00DD5A83" w:rsidRPr="00DD5A83">
        <w:rPr>
          <w:rFonts w:ascii="Arial" w:hAnsi="Arial" w:cs="Arial"/>
          <w:sz w:val="22"/>
          <w:szCs w:val="22"/>
          <w:vertAlign w:val="superscript"/>
        </w:rPr>
        <w:t>o</w:t>
      </w:r>
      <w:r w:rsidR="00DD5A83">
        <w:rPr>
          <w:rFonts w:ascii="Arial" w:hAnsi="Arial" w:cs="Arial"/>
          <w:sz w:val="22"/>
          <w:szCs w:val="22"/>
        </w:rPr>
        <w:t xml:space="preserve"> C for 6 months</w:t>
      </w:r>
    </w:p>
    <w:p w14:paraId="5AEBA36A" w14:textId="64D65960" w:rsidR="00310980" w:rsidRPr="00DD5A83" w:rsidRDefault="00310980" w:rsidP="00DD5A83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Luciferase assay reagents</w:t>
      </w:r>
      <w:r w:rsidR="00DD5A83">
        <w:rPr>
          <w:rFonts w:ascii="Arial" w:hAnsi="Arial" w:cs="Arial"/>
          <w:b/>
          <w:bCs/>
          <w:sz w:val="22"/>
          <w:szCs w:val="22"/>
        </w:rPr>
        <w:t xml:space="preserve"> </w:t>
      </w:r>
      <w:r w:rsidR="00DD5A83" w:rsidRPr="00DD5A83">
        <w:rPr>
          <w:rFonts w:ascii="Arial" w:hAnsi="Arial" w:cs="Arial"/>
          <w:bCs/>
          <w:sz w:val="22"/>
          <w:szCs w:val="22"/>
        </w:rPr>
        <w:t xml:space="preserve">(100 assays each of </w:t>
      </w:r>
      <w:proofErr w:type="spellStart"/>
      <w:r w:rsidR="00DD5A83" w:rsidRPr="00DD5A83">
        <w:rPr>
          <w:rFonts w:ascii="Arial" w:hAnsi="Arial" w:cs="Arial"/>
          <w:bCs/>
          <w:sz w:val="22"/>
          <w:szCs w:val="22"/>
        </w:rPr>
        <w:t>Cypridina</w:t>
      </w:r>
      <w:proofErr w:type="spellEnd"/>
      <w:r w:rsidR="00DD5A83" w:rsidRPr="00DD5A83">
        <w:rPr>
          <w:rFonts w:ascii="Arial" w:hAnsi="Arial" w:cs="Arial"/>
          <w:bCs/>
          <w:sz w:val="22"/>
          <w:szCs w:val="22"/>
        </w:rPr>
        <w:t xml:space="preserve"> luciferase assay reagent (VLAR-2) and the </w:t>
      </w:r>
      <w:proofErr w:type="spellStart"/>
      <w:r w:rsidR="00DD5A83" w:rsidRPr="00DD5A83">
        <w:rPr>
          <w:rFonts w:ascii="Arial" w:hAnsi="Arial" w:cs="Arial"/>
          <w:bCs/>
          <w:sz w:val="22"/>
          <w:szCs w:val="22"/>
        </w:rPr>
        <w:t>Gaussia</w:t>
      </w:r>
      <w:proofErr w:type="spellEnd"/>
      <w:r w:rsidR="00DD5A83" w:rsidRPr="00DD5A83">
        <w:rPr>
          <w:rFonts w:ascii="Arial" w:hAnsi="Arial" w:cs="Arial"/>
          <w:bCs/>
          <w:sz w:val="22"/>
          <w:szCs w:val="22"/>
        </w:rPr>
        <w:t xml:space="preserve"> luciferase assay reagent (GAR-</w:t>
      </w:r>
      <w:r w:rsidR="00DD5A83" w:rsidRPr="00DD5A83">
        <w:rPr>
          <w:rFonts w:ascii="Arial" w:hAnsi="Arial" w:cs="Arial"/>
          <w:bCs/>
          <w:i/>
          <w:sz w:val="22"/>
          <w:szCs w:val="22"/>
        </w:rPr>
        <w:t xml:space="preserve">Quench and Glo </w:t>
      </w:r>
      <w:r w:rsidR="00DD5A83" w:rsidRPr="00DD5A83">
        <w:rPr>
          <w:rFonts w:ascii="Arial" w:hAnsi="Arial" w:cs="Arial"/>
          <w:bCs/>
          <w:i/>
          <w:sz w:val="22"/>
          <w:szCs w:val="22"/>
          <w:vertAlign w:val="superscript"/>
        </w:rPr>
        <w:t>TM</w:t>
      </w:r>
      <w:r w:rsidR="00DD5A83" w:rsidRPr="00DD5A83">
        <w:rPr>
          <w:rFonts w:ascii="Arial" w:hAnsi="Arial" w:cs="Arial"/>
          <w:bCs/>
          <w:sz w:val="22"/>
          <w:szCs w:val="22"/>
        </w:rPr>
        <w:t>)</w:t>
      </w:r>
      <w:r w:rsidR="00DD5A83">
        <w:rPr>
          <w:rFonts w:ascii="Arial" w:hAnsi="Arial" w:cs="Arial"/>
          <w:bCs/>
          <w:sz w:val="22"/>
          <w:szCs w:val="22"/>
        </w:rPr>
        <w:t xml:space="preserve">. </w:t>
      </w:r>
      <w:r w:rsidR="00DD5A83">
        <w:rPr>
          <w:rFonts w:ascii="Arial" w:hAnsi="Arial" w:cs="Arial"/>
          <w:sz w:val="22"/>
          <w:szCs w:val="22"/>
        </w:rPr>
        <w:t xml:space="preserve">Storage: -20 </w:t>
      </w:r>
      <w:r w:rsidR="00DD5A83" w:rsidRPr="00DD5A83">
        <w:rPr>
          <w:rFonts w:ascii="Arial" w:hAnsi="Arial" w:cs="Arial"/>
          <w:sz w:val="22"/>
          <w:szCs w:val="22"/>
          <w:vertAlign w:val="superscript"/>
        </w:rPr>
        <w:t>o</w:t>
      </w:r>
      <w:r w:rsidR="00DD5A83">
        <w:rPr>
          <w:rFonts w:ascii="Arial" w:hAnsi="Arial" w:cs="Arial"/>
          <w:sz w:val="22"/>
          <w:szCs w:val="22"/>
        </w:rPr>
        <w:t xml:space="preserve"> C for 6 months</w:t>
      </w:r>
    </w:p>
    <w:p w14:paraId="255B7C24" w14:textId="316CB08D" w:rsidR="00916954" w:rsidRDefault="00916954" w:rsidP="00916954">
      <w:pPr>
        <w:pStyle w:val="NormalWeb"/>
        <w:rPr>
          <w:rFonts w:ascii="ArialMT" w:hAnsi="ArialMT"/>
          <w:b/>
          <w:sz w:val="22"/>
          <w:szCs w:val="22"/>
        </w:rPr>
      </w:pPr>
      <w:proofErr w:type="gramStart"/>
      <w:r w:rsidRPr="00916954">
        <w:rPr>
          <w:rFonts w:ascii="ArialMT" w:hAnsi="ArialMT"/>
          <w:b/>
          <w:sz w:val="22"/>
          <w:szCs w:val="22"/>
        </w:rPr>
        <w:t>MATERIALS  REQUIRED</w:t>
      </w:r>
      <w:proofErr w:type="gramEnd"/>
      <w:r w:rsidRPr="00916954">
        <w:rPr>
          <w:rFonts w:ascii="ArialMT" w:hAnsi="ArialMT"/>
          <w:b/>
          <w:sz w:val="22"/>
          <w:szCs w:val="22"/>
        </w:rPr>
        <w:t xml:space="preserve"> BUT NOT SUPPLIED WITH THE KIT</w:t>
      </w:r>
    </w:p>
    <w:p w14:paraId="3CC9AA72" w14:textId="784ED9E1" w:rsidR="00916954" w:rsidRDefault="00916954" w:rsidP="00916954">
      <w:pPr>
        <w:pStyle w:val="NormalWeb"/>
        <w:numPr>
          <w:ilvl w:val="0"/>
          <w:numId w:val="10"/>
        </w:numPr>
        <w:contextualSpacing/>
      </w:pPr>
      <w:r>
        <w:rPr>
          <w:rFonts w:ascii="ArialMT" w:hAnsi="ArialMT"/>
          <w:sz w:val="22"/>
          <w:szCs w:val="22"/>
        </w:rPr>
        <w:t>Microplate Luminometer</w:t>
      </w:r>
    </w:p>
    <w:p w14:paraId="67663AD6" w14:textId="77777777" w:rsidR="00916954" w:rsidRDefault="00916954" w:rsidP="00916954">
      <w:pPr>
        <w:pStyle w:val="NormalWeb"/>
        <w:numPr>
          <w:ilvl w:val="0"/>
          <w:numId w:val="10"/>
        </w:numPr>
        <w:contextualSpacing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Single- and multichannel pipettors</w:t>
      </w:r>
    </w:p>
    <w:p w14:paraId="3747223B" w14:textId="77777777" w:rsidR="00916954" w:rsidRDefault="00916954" w:rsidP="00916954">
      <w:pPr>
        <w:pStyle w:val="NormalWeb"/>
        <w:numPr>
          <w:ilvl w:val="0"/>
          <w:numId w:val="10"/>
        </w:numPr>
        <w:contextualSpacing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Polypropylene tubes or 96 well dilution plates</w:t>
      </w:r>
    </w:p>
    <w:p w14:paraId="24831F98" w14:textId="26E930E5" w:rsidR="00916954" w:rsidRPr="00916954" w:rsidRDefault="00916954" w:rsidP="00916954">
      <w:pPr>
        <w:pStyle w:val="NormalWeb"/>
        <w:numPr>
          <w:ilvl w:val="0"/>
          <w:numId w:val="10"/>
        </w:numPr>
        <w:contextualSpacing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Parafilm or pl</w:t>
      </w:r>
      <w:r w:rsidR="00DD5A83">
        <w:rPr>
          <w:rFonts w:ascii="ArialMT" w:hAnsi="ArialMT"/>
          <w:sz w:val="22"/>
          <w:szCs w:val="22"/>
        </w:rPr>
        <w:t>ate sealer,</w:t>
      </w:r>
      <w:r>
        <w:rPr>
          <w:rFonts w:ascii="ArialMT" w:hAnsi="ArialMT"/>
          <w:sz w:val="22"/>
          <w:szCs w:val="22"/>
        </w:rPr>
        <w:t xml:space="preserve"> </w:t>
      </w:r>
      <w:r>
        <w:t>Timer</w:t>
      </w:r>
    </w:p>
    <w:p w14:paraId="70B14AF0" w14:textId="5C94D737" w:rsidR="00916954" w:rsidRDefault="00916954" w:rsidP="00916954">
      <w:pPr>
        <w:pStyle w:val="NormalWeb"/>
        <w:contextualSpacing/>
        <w:rPr>
          <w:rFonts w:ascii="ArialMT" w:hAnsi="ArialMT"/>
          <w:sz w:val="22"/>
          <w:szCs w:val="22"/>
        </w:rPr>
      </w:pPr>
    </w:p>
    <w:p w14:paraId="4B4656C6" w14:textId="77777777" w:rsidR="00916954" w:rsidRDefault="00916954" w:rsidP="00916954">
      <w:pPr>
        <w:pStyle w:val="NormalWeb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WARNINGS AND PRECAUTIONS </w:t>
      </w:r>
    </w:p>
    <w:p w14:paraId="2FCD04BD" w14:textId="19D3C227" w:rsidR="009E7AA2" w:rsidRPr="00310980" w:rsidRDefault="00310980" w:rsidP="003D0C0E">
      <w:pPr>
        <w:pStyle w:val="NormalWeb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This is a “research use only” kit.  </w:t>
      </w:r>
      <w:r w:rsidR="00916954">
        <w:rPr>
          <w:rFonts w:ascii="ArialMT" w:hAnsi="ArialMT"/>
          <w:sz w:val="22"/>
          <w:szCs w:val="22"/>
        </w:rPr>
        <w:t xml:space="preserve">This test has not been FDA cleared or approved; </w:t>
      </w:r>
    </w:p>
    <w:p w14:paraId="2E58822F" w14:textId="31463F61" w:rsidR="009E7AA2" w:rsidRDefault="009E7AA2">
      <w:pPr>
        <w:rPr>
          <w:rFonts w:ascii="Calibri" w:hAnsi="Calibri" w:cs="Calibri"/>
        </w:rPr>
      </w:pPr>
    </w:p>
    <w:p w14:paraId="6EFA4387" w14:textId="11FD8356" w:rsidR="00F9147C" w:rsidRDefault="00F9147C">
      <w:pPr>
        <w:rPr>
          <w:rFonts w:ascii="Calibri" w:hAnsi="Calibri" w:cs="Calibri"/>
        </w:rPr>
      </w:pPr>
    </w:p>
    <w:p w14:paraId="45A4464B" w14:textId="68AF0A85" w:rsidR="00F9147C" w:rsidRDefault="00F9147C">
      <w:pPr>
        <w:rPr>
          <w:rFonts w:ascii="Calibri" w:hAnsi="Calibri" w:cs="Calibri"/>
        </w:rPr>
      </w:pPr>
      <w:r>
        <w:rPr>
          <w:rFonts w:ascii="Calibri" w:hAnsi="Calibri" w:cs="Calibri"/>
        </w:rPr>
        <w:t>PROTOCOL:</w:t>
      </w:r>
    </w:p>
    <w:p w14:paraId="2E28B515" w14:textId="77777777" w:rsidR="00727983" w:rsidRPr="009E7AA2" w:rsidRDefault="00727983" w:rsidP="00727983">
      <w:pPr>
        <w:spacing w:before="100" w:beforeAutospacing="1" w:after="100" w:afterAutospacing="1"/>
      </w:pPr>
      <w:r w:rsidRPr="009E7AA2">
        <w:rPr>
          <w:rFonts w:ascii="Calibri" w:hAnsi="Calibri"/>
        </w:rPr>
        <w:t xml:space="preserve">1. Remove excess microplate strips from the plate frame, return them to the foil pouch containing the desiccant pack, and reseal. </w:t>
      </w:r>
    </w:p>
    <w:p w14:paraId="6AB7BB25" w14:textId="0552FD6E" w:rsidR="00727983" w:rsidRPr="009E7AA2" w:rsidRDefault="00727983" w:rsidP="00727983">
      <w:pPr>
        <w:spacing w:before="100" w:beforeAutospacing="1" w:after="100" w:afterAutospacing="1"/>
      </w:pPr>
      <w:r w:rsidRPr="009E7AA2">
        <w:rPr>
          <w:rFonts w:ascii="Calibri" w:hAnsi="Calibri"/>
        </w:rPr>
        <w:t xml:space="preserve">2. Add </w:t>
      </w:r>
      <w:r>
        <w:rPr>
          <w:rFonts w:ascii="Calibri" w:hAnsi="Calibri"/>
        </w:rPr>
        <w:t>50</w:t>
      </w:r>
      <w:r w:rsidRPr="009E7AA2">
        <w:rPr>
          <w:rFonts w:ascii="Calibri" w:hAnsi="Calibri"/>
        </w:rPr>
        <w:t xml:space="preserve"> </w:t>
      </w:r>
      <w:proofErr w:type="spellStart"/>
      <w:r w:rsidRPr="009E7AA2">
        <w:rPr>
          <w:rFonts w:ascii="Calibri" w:hAnsi="Calibri"/>
        </w:rPr>
        <w:t>μL</w:t>
      </w:r>
      <w:proofErr w:type="spellEnd"/>
      <w:r w:rsidRPr="009E7AA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diluted </w:t>
      </w:r>
      <w:r w:rsidRPr="009E7AA2">
        <w:rPr>
          <w:rFonts w:ascii="Calibri" w:hAnsi="Calibri"/>
        </w:rPr>
        <w:t>sample</w:t>
      </w:r>
      <w:r>
        <w:rPr>
          <w:rFonts w:ascii="Calibri" w:hAnsi="Calibri"/>
        </w:rPr>
        <w:t>s to each well</w:t>
      </w:r>
      <w:r w:rsidR="007A2F4A">
        <w:rPr>
          <w:rFonts w:ascii="Calibri" w:hAnsi="Calibri"/>
        </w:rPr>
        <w:t xml:space="preserve"> We recommend a 1: </w:t>
      </w:r>
      <w:r w:rsidR="00FE1915">
        <w:rPr>
          <w:rFonts w:ascii="Calibri" w:hAnsi="Calibri"/>
        </w:rPr>
        <w:t>20 or higher dilution in wash buffer 1</w:t>
      </w:r>
    </w:p>
    <w:p w14:paraId="25937673" w14:textId="057C18F4" w:rsidR="00727983" w:rsidRPr="009E7AA2" w:rsidRDefault="00727983" w:rsidP="00727983">
      <w:pPr>
        <w:spacing w:before="100" w:beforeAutospacing="1" w:after="100" w:afterAutospacing="1"/>
      </w:pPr>
      <w:r w:rsidRPr="009E7AA2">
        <w:rPr>
          <w:rFonts w:ascii="Calibri" w:hAnsi="Calibri"/>
        </w:rPr>
        <w:t xml:space="preserve">4. </w:t>
      </w:r>
      <w:r>
        <w:rPr>
          <w:rFonts w:ascii="Calibri" w:hAnsi="Calibri"/>
        </w:rPr>
        <w:t>C</w:t>
      </w:r>
      <w:r w:rsidRPr="009E7AA2">
        <w:rPr>
          <w:rFonts w:ascii="Calibri" w:hAnsi="Calibri"/>
        </w:rPr>
        <w:t xml:space="preserve">over with the adhesive strip provided. Incubate for </w:t>
      </w:r>
      <w:r w:rsidR="00346096">
        <w:rPr>
          <w:rFonts w:ascii="Calibri" w:hAnsi="Calibri"/>
        </w:rPr>
        <w:t>1</w:t>
      </w:r>
      <w:r>
        <w:rPr>
          <w:rFonts w:ascii="Calibri" w:hAnsi="Calibri"/>
        </w:rPr>
        <w:t>0 mins at RT</w:t>
      </w:r>
    </w:p>
    <w:p w14:paraId="2533E4DC" w14:textId="2C486298" w:rsidR="00727983" w:rsidRDefault="00727983" w:rsidP="00727983">
      <w:pPr>
        <w:spacing w:before="100" w:beforeAutospacing="1" w:after="100" w:afterAutospacing="1"/>
        <w:rPr>
          <w:rFonts w:ascii="Calibri" w:hAnsi="Calibri"/>
        </w:rPr>
      </w:pPr>
      <w:r w:rsidRPr="009E7AA2">
        <w:rPr>
          <w:rFonts w:ascii="Calibri" w:hAnsi="Calibri"/>
        </w:rPr>
        <w:t xml:space="preserve">5. </w:t>
      </w:r>
      <w:r>
        <w:rPr>
          <w:rFonts w:ascii="Calibri" w:hAnsi="Calibri"/>
        </w:rPr>
        <w:t xml:space="preserve">Wash </w:t>
      </w:r>
      <w:r w:rsidR="00346096">
        <w:rPr>
          <w:rFonts w:ascii="Calibri" w:hAnsi="Calibri"/>
        </w:rPr>
        <w:t xml:space="preserve">once </w:t>
      </w:r>
      <w:r>
        <w:rPr>
          <w:rFonts w:ascii="Calibri" w:hAnsi="Calibri"/>
        </w:rPr>
        <w:t>with 300 ul Wash Buffer</w:t>
      </w:r>
      <w:r w:rsidR="00346096">
        <w:rPr>
          <w:rFonts w:ascii="Calibri" w:hAnsi="Calibri"/>
        </w:rPr>
        <w:t>1</w:t>
      </w:r>
      <w:r>
        <w:rPr>
          <w:rFonts w:ascii="Calibri" w:hAnsi="Calibri"/>
        </w:rPr>
        <w:t>.</w:t>
      </w:r>
      <w:r w:rsidR="00346096">
        <w:rPr>
          <w:rFonts w:ascii="Calibri" w:hAnsi="Calibri"/>
        </w:rPr>
        <w:t xml:space="preserve"> Incubate 1 min</w:t>
      </w:r>
    </w:p>
    <w:p w14:paraId="76357BE9" w14:textId="0678F22F" w:rsidR="00346096" w:rsidRDefault="00727983" w:rsidP="00727983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6.  Aspirate wash</w:t>
      </w:r>
      <w:r w:rsidR="00DD5A83">
        <w:rPr>
          <w:rFonts w:ascii="Calibri" w:hAnsi="Calibri"/>
        </w:rPr>
        <w:t xml:space="preserve"> buffer </w:t>
      </w:r>
      <w:proofErr w:type="gramStart"/>
      <w:r w:rsidR="00DD5A83">
        <w:rPr>
          <w:rFonts w:ascii="Calibri" w:hAnsi="Calibri"/>
        </w:rPr>
        <w:t xml:space="preserve">1 </w:t>
      </w:r>
      <w:r>
        <w:rPr>
          <w:rFonts w:ascii="Calibri" w:hAnsi="Calibri"/>
        </w:rPr>
        <w:t xml:space="preserve"> and</w:t>
      </w:r>
      <w:proofErr w:type="gramEnd"/>
      <w:r>
        <w:rPr>
          <w:rFonts w:ascii="Calibri" w:hAnsi="Calibri"/>
        </w:rPr>
        <w:t xml:space="preserve"> add </w:t>
      </w:r>
      <w:r w:rsidR="00346096">
        <w:rPr>
          <w:rFonts w:ascii="Calibri" w:hAnsi="Calibri"/>
        </w:rPr>
        <w:t>5</w:t>
      </w:r>
      <w:r>
        <w:rPr>
          <w:rFonts w:ascii="Calibri" w:hAnsi="Calibri"/>
        </w:rPr>
        <w:t xml:space="preserve">0 ul of </w:t>
      </w:r>
      <w:r w:rsidR="00346096">
        <w:rPr>
          <w:rFonts w:ascii="Calibri" w:hAnsi="Calibri"/>
        </w:rPr>
        <w:t>diluted Antibody detection probe</w:t>
      </w:r>
      <w:r w:rsidR="00DD5A83">
        <w:rPr>
          <w:rFonts w:ascii="Calibri" w:hAnsi="Calibri"/>
        </w:rPr>
        <w:t xml:space="preserve"> mix</w:t>
      </w:r>
      <w:r w:rsidR="00346096">
        <w:rPr>
          <w:rFonts w:ascii="Calibri" w:hAnsi="Calibri"/>
        </w:rPr>
        <w:t xml:space="preserve"> and incubate for 5 min</w:t>
      </w:r>
    </w:p>
    <w:p w14:paraId="0F689758" w14:textId="349C1463" w:rsidR="00346096" w:rsidRDefault="00346096" w:rsidP="00727983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7. Aspirate antibody detection probe</w:t>
      </w:r>
    </w:p>
    <w:p w14:paraId="62C6EE42" w14:textId="39D5F85F" w:rsidR="00346096" w:rsidRDefault="00346096" w:rsidP="00727983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8.  Wash 2X with 300 ul of Wash buffer 2 and IX with Wash buffer 1. Incubate with each wash for 1 min before aspirating</w:t>
      </w:r>
    </w:p>
    <w:p w14:paraId="632CFD77" w14:textId="3CBD6634" w:rsidR="00727983" w:rsidRPr="00E5233A" w:rsidRDefault="00346096" w:rsidP="00727983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9.  After aspirating last wash add 50 ul of </w:t>
      </w:r>
      <w:proofErr w:type="spellStart"/>
      <w:r w:rsidR="00E5233A">
        <w:rPr>
          <w:rFonts w:ascii="Calibri" w:hAnsi="Calibri"/>
        </w:rPr>
        <w:t>Cypridina</w:t>
      </w:r>
      <w:proofErr w:type="spellEnd"/>
      <w:r w:rsidR="00E5233A">
        <w:rPr>
          <w:rFonts w:ascii="Calibri" w:hAnsi="Calibri"/>
        </w:rPr>
        <w:t xml:space="preserve"> luciferase assay reagent (</w:t>
      </w:r>
      <w:r w:rsidR="00DD5A83">
        <w:rPr>
          <w:rFonts w:ascii="Calibri" w:hAnsi="Calibri"/>
        </w:rPr>
        <w:t>VLAR-</w:t>
      </w:r>
      <w:proofErr w:type="gramStart"/>
      <w:r w:rsidR="00DD5A83">
        <w:rPr>
          <w:rFonts w:ascii="Calibri" w:hAnsi="Calibri"/>
        </w:rPr>
        <w:t xml:space="preserve">2 </w:t>
      </w:r>
      <w:r w:rsidR="00E5233A">
        <w:rPr>
          <w:rFonts w:ascii="Calibri" w:hAnsi="Calibri"/>
        </w:rPr>
        <w:t>)</w:t>
      </w:r>
      <w:proofErr w:type="gramEnd"/>
      <w:r>
        <w:rPr>
          <w:rFonts w:ascii="Calibri" w:hAnsi="Calibri"/>
        </w:rPr>
        <w:t xml:space="preserve"> and read immediately  in a microplate luminometer (integrate for 2 sec/well</w:t>
      </w:r>
      <w:r w:rsidR="00DD5A83">
        <w:rPr>
          <w:rFonts w:ascii="Calibri" w:hAnsi="Calibri"/>
        </w:rPr>
        <w:t xml:space="preserve">. Wait </w:t>
      </w:r>
      <w:r w:rsidR="00E5233A">
        <w:rPr>
          <w:rFonts w:ascii="Calibri" w:hAnsi="Calibri"/>
        </w:rPr>
        <w:t xml:space="preserve">5 min. Add 50 </w:t>
      </w:r>
      <w:proofErr w:type="gramStart"/>
      <w:r w:rsidR="00E5233A">
        <w:rPr>
          <w:rFonts w:ascii="Calibri" w:hAnsi="Calibri"/>
        </w:rPr>
        <w:t xml:space="preserve">ul  </w:t>
      </w:r>
      <w:proofErr w:type="spellStart"/>
      <w:r w:rsidR="00E5233A" w:rsidRPr="00DD5A83">
        <w:rPr>
          <w:rFonts w:ascii="Arial" w:hAnsi="Arial" w:cs="Arial"/>
          <w:bCs/>
          <w:sz w:val="22"/>
          <w:szCs w:val="22"/>
        </w:rPr>
        <w:t>Gaussia</w:t>
      </w:r>
      <w:proofErr w:type="spellEnd"/>
      <w:proofErr w:type="gramEnd"/>
      <w:r w:rsidR="00E5233A" w:rsidRPr="00DD5A83">
        <w:rPr>
          <w:rFonts w:ascii="Arial" w:hAnsi="Arial" w:cs="Arial"/>
          <w:bCs/>
          <w:sz w:val="22"/>
          <w:szCs w:val="22"/>
        </w:rPr>
        <w:t xml:space="preserve"> luciferase assay reagent (GAR-</w:t>
      </w:r>
      <w:r w:rsidR="00E5233A" w:rsidRPr="00DD5A83">
        <w:rPr>
          <w:rFonts w:ascii="Arial" w:hAnsi="Arial" w:cs="Arial"/>
          <w:bCs/>
          <w:i/>
          <w:sz w:val="22"/>
          <w:szCs w:val="22"/>
        </w:rPr>
        <w:t xml:space="preserve">Quench and Glo </w:t>
      </w:r>
      <w:r w:rsidR="00E5233A" w:rsidRPr="00DD5A83">
        <w:rPr>
          <w:rFonts w:ascii="Arial" w:hAnsi="Arial" w:cs="Arial"/>
          <w:bCs/>
          <w:i/>
          <w:sz w:val="22"/>
          <w:szCs w:val="22"/>
          <w:vertAlign w:val="superscript"/>
        </w:rPr>
        <w:t>TM</w:t>
      </w:r>
      <w:r w:rsidR="00E5233A" w:rsidRPr="00DD5A83">
        <w:rPr>
          <w:rFonts w:ascii="Arial" w:hAnsi="Arial" w:cs="Arial"/>
          <w:bCs/>
          <w:sz w:val="22"/>
          <w:szCs w:val="22"/>
        </w:rPr>
        <w:t>)</w:t>
      </w:r>
      <w:r w:rsidR="00E5233A">
        <w:rPr>
          <w:rFonts w:ascii="Arial" w:hAnsi="Arial" w:cs="Arial"/>
          <w:bCs/>
          <w:sz w:val="22"/>
          <w:szCs w:val="22"/>
        </w:rPr>
        <w:t xml:space="preserve"> and read </w:t>
      </w:r>
      <w:proofErr w:type="spellStart"/>
      <w:r w:rsidR="00E5233A">
        <w:rPr>
          <w:rFonts w:ascii="Arial" w:hAnsi="Arial" w:cs="Arial"/>
          <w:bCs/>
          <w:sz w:val="22"/>
          <w:szCs w:val="22"/>
        </w:rPr>
        <w:t>ina</w:t>
      </w:r>
      <w:proofErr w:type="spellEnd"/>
      <w:r w:rsidR="00E5233A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E5233A">
        <w:rPr>
          <w:rFonts w:ascii="Arial" w:hAnsi="Arial" w:cs="Arial"/>
          <w:bCs/>
          <w:sz w:val="22"/>
          <w:szCs w:val="22"/>
        </w:rPr>
        <w:t>Micorpalte</w:t>
      </w:r>
      <w:proofErr w:type="spellEnd"/>
      <w:r w:rsidR="00E5233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E5233A">
        <w:rPr>
          <w:rFonts w:ascii="Arial" w:hAnsi="Arial" w:cs="Arial"/>
          <w:bCs/>
          <w:sz w:val="22"/>
          <w:szCs w:val="22"/>
        </w:rPr>
        <w:t>luminometer,</w:t>
      </w:r>
      <w:r w:rsidR="00E5233A">
        <w:rPr>
          <w:rFonts w:ascii="Calibri" w:hAnsi="Calibri"/>
        </w:rPr>
        <w:t>(</w:t>
      </w:r>
      <w:proofErr w:type="gramEnd"/>
      <w:r w:rsidR="00E5233A">
        <w:rPr>
          <w:rFonts w:ascii="Calibri" w:hAnsi="Calibri"/>
        </w:rPr>
        <w:t xml:space="preserve">integrate for 2 sec/well).                                </w:t>
      </w:r>
      <w:r w:rsidR="00E5233A" w:rsidRPr="00DA04CB">
        <w:rPr>
          <w:rFonts w:ascii="Calibri" w:hAnsi="Calibri"/>
          <w:b/>
        </w:rPr>
        <w:t xml:space="preserve">NOTE: </w:t>
      </w:r>
      <w:r w:rsidR="00E5233A">
        <w:rPr>
          <w:rFonts w:ascii="Calibri" w:hAnsi="Calibri"/>
        </w:rPr>
        <w:t xml:space="preserve">Working Luciferase </w:t>
      </w:r>
      <w:r w:rsidR="00727983">
        <w:rPr>
          <w:rFonts w:ascii="Calibri" w:hAnsi="Calibri"/>
        </w:rPr>
        <w:t xml:space="preserve">assay reagent </w:t>
      </w:r>
      <w:r w:rsidR="00E5233A">
        <w:rPr>
          <w:rFonts w:ascii="Calibri" w:hAnsi="Calibri"/>
        </w:rPr>
        <w:t xml:space="preserve">is prepared jus </w:t>
      </w:r>
      <w:proofErr w:type="spellStart"/>
      <w:r w:rsidR="00E5233A">
        <w:rPr>
          <w:rFonts w:ascii="Calibri" w:hAnsi="Calibri"/>
        </w:rPr>
        <w:t>tbefore</w:t>
      </w:r>
      <w:proofErr w:type="spellEnd"/>
      <w:r w:rsidR="00E5233A">
        <w:rPr>
          <w:rFonts w:ascii="Calibri" w:hAnsi="Calibri"/>
        </w:rPr>
        <w:t xml:space="preserve"> use by diluting the 100X substrate 100-fold in the respective luciferase assay dilution buffer</w:t>
      </w:r>
    </w:p>
    <w:p w14:paraId="5004B5BE" w14:textId="77777777" w:rsidR="00727983" w:rsidRPr="009E7AA2" w:rsidRDefault="00727983" w:rsidP="00727983">
      <w:pPr>
        <w:spacing w:before="100" w:beforeAutospacing="1" w:after="100" w:afterAutospacing="1"/>
      </w:pPr>
      <w:r w:rsidRPr="009E7AA2">
        <w:rPr>
          <w:rFonts w:ascii="Calibri" w:hAnsi="Calibri"/>
          <w:b/>
          <w:bCs/>
        </w:rPr>
        <w:t xml:space="preserve">Calculations Of Results </w:t>
      </w:r>
    </w:p>
    <w:p w14:paraId="5FBD08FF" w14:textId="30E3BDFA" w:rsidR="00727983" w:rsidRPr="009E7AA2" w:rsidRDefault="00727983" w:rsidP="00727983">
      <w:pPr>
        <w:spacing w:before="100" w:beforeAutospacing="1" w:after="100" w:afterAutospacing="1"/>
      </w:pPr>
      <w:r w:rsidRPr="009E7AA2">
        <w:rPr>
          <w:rFonts w:ascii="Calibri" w:hAnsi="Calibri"/>
        </w:rPr>
        <w:t xml:space="preserve">1. Average the readings for each standard, control and sample, and subtract the </w:t>
      </w:r>
      <w:r w:rsidR="00FE1915">
        <w:rPr>
          <w:rFonts w:ascii="Calibri" w:hAnsi="Calibri"/>
        </w:rPr>
        <w:t>background reading</w:t>
      </w:r>
    </w:p>
    <w:p w14:paraId="720F09B5" w14:textId="05EFD631" w:rsidR="00727983" w:rsidRPr="009E7AA2" w:rsidRDefault="00727983" w:rsidP="00727983">
      <w:pPr>
        <w:spacing w:before="100" w:beforeAutospacing="1" w:after="100" w:afterAutospacing="1"/>
      </w:pPr>
      <w:r w:rsidRPr="009E7AA2">
        <w:rPr>
          <w:rFonts w:ascii="Calibri" w:hAnsi="Calibri"/>
        </w:rPr>
        <w:t xml:space="preserve">2. Create a standard curve by reducing the data using computer software capable of generating a log/log curve-fit. As an alternative, construct a standard curve by plotting the mean </w:t>
      </w:r>
      <w:r w:rsidR="00FE1915">
        <w:rPr>
          <w:rFonts w:ascii="Calibri" w:hAnsi="Calibri"/>
        </w:rPr>
        <w:t xml:space="preserve">luciferase </w:t>
      </w:r>
      <w:proofErr w:type="gramStart"/>
      <w:r w:rsidR="00FE1915">
        <w:rPr>
          <w:rFonts w:ascii="Calibri" w:hAnsi="Calibri"/>
        </w:rPr>
        <w:t xml:space="preserve">activity </w:t>
      </w:r>
      <w:r w:rsidRPr="009E7AA2">
        <w:rPr>
          <w:rFonts w:ascii="Calibri" w:hAnsi="Calibri"/>
        </w:rPr>
        <w:t xml:space="preserve"> for</w:t>
      </w:r>
      <w:proofErr w:type="gramEnd"/>
      <w:r w:rsidRPr="009E7AA2">
        <w:rPr>
          <w:rFonts w:ascii="Calibri" w:hAnsi="Calibri"/>
        </w:rPr>
        <w:t xml:space="preserve"> each standard on the y-axis against the concentration on the x-axis and draw a best fit curve through the points on a log/log graph. The data may be linearized by plotting the log of the </w:t>
      </w:r>
      <w:r w:rsidR="00FE1915">
        <w:rPr>
          <w:rFonts w:ascii="Calibri" w:hAnsi="Calibri"/>
        </w:rPr>
        <w:t xml:space="preserve">nucleocapsid or </w:t>
      </w:r>
      <w:r w:rsidRPr="009E7AA2">
        <w:rPr>
          <w:rFonts w:ascii="Calibri" w:hAnsi="Calibri"/>
        </w:rPr>
        <w:t xml:space="preserve">Spike S1 Protein concentrations versus the log of the </w:t>
      </w:r>
      <w:r>
        <w:rPr>
          <w:rFonts w:ascii="Calibri" w:hAnsi="Calibri"/>
        </w:rPr>
        <w:t>luciferase activity</w:t>
      </w:r>
      <w:r w:rsidRPr="009E7AA2">
        <w:rPr>
          <w:rFonts w:ascii="Calibri" w:hAnsi="Calibri"/>
        </w:rPr>
        <w:t xml:space="preserve"> on a linear scale, and the best fit line can be determined by regression analysis. </w:t>
      </w:r>
    </w:p>
    <w:p w14:paraId="45F4543F" w14:textId="77777777" w:rsidR="00727983" w:rsidRDefault="00727983" w:rsidP="00727983">
      <w:pPr>
        <w:spacing w:before="100" w:beforeAutospacing="1" w:after="100" w:afterAutospacing="1"/>
        <w:rPr>
          <w:rFonts w:ascii="Calibri" w:hAnsi="Calibri"/>
        </w:rPr>
      </w:pPr>
      <w:r w:rsidRPr="009E7AA2">
        <w:rPr>
          <w:rFonts w:ascii="Calibri" w:hAnsi="Calibri"/>
        </w:rPr>
        <w:t xml:space="preserve">3. If samples have been diluted, the concentration read from the standard curve must be multiplied by the dilution factor. </w:t>
      </w:r>
    </w:p>
    <w:p w14:paraId="1E33861B" w14:textId="77777777" w:rsidR="00F9147C" w:rsidRPr="00727983" w:rsidRDefault="00F9147C">
      <w:pPr>
        <w:rPr>
          <w:rFonts w:ascii="Calibri" w:hAnsi="Calibri" w:cs="Calibri"/>
          <w:b/>
        </w:rPr>
      </w:pPr>
    </w:p>
    <w:sectPr w:rsidR="00F9147C" w:rsidRPr="00727983" w:rsidSect="002B14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630" w:bottom="1440" w:left="63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9CC5" w14:textId="77777777" w:rsidR="00544D8C" w:rsidRDefault="00544D8C" w:rsidP="00F6135C">
      <w:r>
        <w:separator/>
      </w:r>
    </w:p>
  </w:endnote>
  <w:endnote w:type="continuationSeparator" w:id="0">
    <w:p w14:paraId="5A0E3BEB" w14:textId="77777777" w:rsidR="00544D8C" w:rsidRDefault="00544D8C" w:rsidP="00F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EE79" w14:textId="77777777" w:rsidR="001245EA" w:rsidRDefault="00124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6596" w14:textId="77777777" w:rsidR="001245EA" w:rsidRDefault="00A47571" w:rsidP="00FA5C72">
    <w:pPr>
      <w:pBdr>
        <w:bottom w:val="single" w:sz="12" w:space="0" w:color="auto"/>
      </w:pBdr>
      <w:jc w:val="right"/>
      <w:rPr>
        <w:rFonts w:ascii="Cambria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FC81D" wp14:editId="278CE132">
              <wp:simplePos x="0" y="0"/>
              <wp:positionH relativeFrom="margin">
                <wp:posOffset>6686550</wp:posOffset>
              </wp:positionH>
              <wp:positionV relativeFrom="page">
                <wp:posOffset>9477375</wp:posOffset>
              </wp:positionV>
              <wp:extent cx="333375" cy="40005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400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7FAC7" w14:textId="77777777" w:rsidR="001245EA" w:rsidRPr="000018F6" w:rsidRDefault="001245EA" w:rsidP="00383C0D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676C" w:rsidRPr="00B0676C">
                            <w:rPr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A5FC81D" id="Oval 10" o:spid="_x0000_s1030" style="position:absolute;left:0;text-align:left;margin-left:526.5pt;margin-top:746.25pt;width:2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" fillcolor="black" stroked="f">
              <v:textbox inset="0,,0">
                <w:txbxContent>
                  <w:p w14:paraId="62A7FAC7" w14:textId="77777777" w:rsidR="001245EA" w:rsidRPr="000018F6" w:rsidRDefault="001245EA" w:rsidP="00383C0D">
                    <w:pPr>
                      <w:pStyle w:val="Footer"/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F6135C">
                      <w:rPr>
                        <w:sz w:val="28"/>
                        <w:szCs w:val="28"/>
                      </w:rPr>
                      <w:fldChar w:fldCharType="begin"/>
                    </w:r>
                    <w:r w:rsidRPr="00F6135C">
                      <w:rPr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F6135C">
                      <w:rPr>
                        <w:sz w:val="28"/>
                        <w:szCs w:val="28"/>
                      </w:rPr>
                      <w:fldChar w:fldCharType="separate"/>
                    </w:r>
                    <w:r w:rsidR="00B0676C" w:rsidRPr="00B0676C">
                      <w:rPr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F6135C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52AF1E48" w14:textId="77777777" w:rsidR="001245EA" w:rsidRDefault="001245EA" w:rsidP="00383C0D">
    <w:pPr>
      <w:jc w:val="right"/>
      <w:rPr>
        <w:rFonts w:ascii="Cambria" w:hAnsi="Cambria"/>
      </w:rPr>
    </w:pPr>
  </w:p>
  <w:p w14:paraId="2329947D" w14:textId="77777777" w:rsidR="001245EA" w:rsidRDefault="001245EA" w:rsidP="00F6135C">
    <w:pPr>
      <w:pStyle w:val="Footer"/>
      <w:ind w:left="-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588A" w14:textId="77777777" w:rsidR="001245EA" w:rsidRDefault="00124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42F5" w14:textId="77777777" w:rsidR="00544D8C" w:rsidRDefault="00544D8C" w:rsidP="00F6135C">
      <w:r>
        <w:separator/>
      </w:r>
    </w:p>
  </w:footnote>
  <w:footnote w:type="continuationSeparator" w:id="0">
    <w:p w14:paraId="4BFF8B28" w14:textId="77777777" w:rsidR="00544D8C" w:rsidRDefault="00544D8C" w:rsidP="00F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B307" w14:textId="77777777" w:rsidR="001245EA" w:rsidRDefault="00124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6EB6" w14:textId="77777777" w:rsidR="001245EA" w:rsidRDefault="00A47571" w:rsidP="00F6135C">
    <w:pPr>
      <w:pStyle w:val="Header"/>
      <w:tabs>
        <w:tab w:val="left" w:pos="10800"/>
        <w:tab w:val="left" w:pos="11160"/>
      </w:tabs>
    </w:pPr>
    <w:r>
      <w:rPr>
        <w:noProof/>
      </w:rPr>
      <w:drawing>
        <wp:inline distT="0" distB="0" distL="0" distR="0" wp14:anchorId="5F472B73" wp14:editId="485AB1B2">
          <wp:extent cx="6962775" cy="1209675"/>
          <wp:effectExtent l="0" t="0" r="9525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1C8" w14:textId="77777777" w:rsidR="001245EA" w:rsidRDefault="00124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BA2"/>
    <w:multiLevelType w:val="hybridMultilevel"/>
    <w:tmpl w:val="C0D8C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E6ECD"/>
    <w:multiLevelType w:val="hybridMultilevel"/>
    <w:tmpl w:val="1A64EF7A"/>
    <w:lvl w:ilvl="0" w:tplc="529C9A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1B50"/>
    <w:multiLevelType w:val="hybridMultilevel"/>
    <w:tmpl w:val="F27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541"/>
    <w:multiLevelType w:val="hybridMultilevel"/>
    <w:tmpl w:val="0060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427D60"/>
    <w:multiLevelType w:val="hybridMultilevel"/>
    <w:tmpl w:val="4370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7340"/>
    <w:multiLevelType w:val="multilevel"/>
    <w:tmpl w:val="68EE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F7374"/>
    <w:multiLevelType w:val="multilevel"/>
    <w:tmpl w:val="ED7EBF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21CDE"/>
    <w:multiLevelType w:val="multilevel"/>
    <w:tmpl w:val="6CE4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12CE3"/>
    <w:multiLevelType w:val="hybridMultilevel"/>
    <w:tmpl w:val="4C90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43249"/>
    <w:multiLevelType w:val="hybridMultilevel"/>
    <w:tmpl w:val="A68C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723D"/>
    <w:multiLevelType w:val="hybridMultilevel"/>
    <w:tmpl w:val="FFB69656"/>
    <w:lvl w:ilvl="0" w:tplc="529C9A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30537E"/>
    <w:multiLevelType w:val="hybridMultilevel"/>
    <w:tmpl w:val="FCA87284"/>
    <w:lvl w:ilvl="0" w:tplc="916A0DEC">
      <w:start w:val="4"/>
      <w:numFmt w:val="decimal"/>
      <w:lvlText w:val="%1)"/>
      <w:lvlJc w:val="left"/>
      <w:pPr>
        <w:tabs>
          <w:tab w:val="num" w:pos="80"/>
        </w:tabs>
        <w:ind w:left="80" w:hanging="440"/>
      </w:pPr>
      <w:rPr>
        <w:rFonts w:ascii="Times New Roman" w:hAnsi="Times New Roman"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64C77961"/>
    <w:multiLevelType w:val="hybridMultilevel"/>
    <w:tmpl w:val="89F2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5771F5"/>
    <w:multiLevelType w:val="multilevel"/>
    <w:tmpl w:val="3A56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5C"/>
    <w:rsid w:val="000018F6"/>
    <w:rsid w:val="0001021A"/>
    <w:rsid w:val="00011BF2"/>
    <w:rsid w:val="0001436E"/>
    <w:rsid w:val="00041154"/>
    <w:rsid w:val="00056E10"/>
    <w:rsid w:val="00057DA6"/>
    <w:rsid w:val="000D05E0"/>
    <w:rsid w:val="000D460E"/>
    <w:rsid w:val="000F5E83"/>
    <w:rsid w:val="001245EA"/>
    <w:rsid w:val="001556EA"/>
    <w:rsid w:val="002007A8"/>
    <w:rsid w:val="002059C2"/>
    <w:rsid w:val="002448C3"/>
    <w:rsid w:val="00267F64"/>
    <w:rsid w:val="002B1459"/>
    <w:rsid w:val="002B14DD"/>
    <w:rsid w:val="002C23DA"/>
    <w:rsid w:val="002E3DAD"/>
    <w:rsid w:val="002E6CFD"/>
    <w:rsid w:val="0030601B"/>
    <w:rsid w:val="00310980"/>
    <w:rsid w:val="00346096"/>
    <w:rsid w:val="00383C0D"/>
    <w:rsid w:val="003D0C0E"/>
    <w:rsid w:val="003F3846"/>
    <w:rsid w:val="00430FA7"/>
    <w:rsid w:val="00433A7C"/>
    <w:rsid w:val="00471EE0"/>
    <w:rsid w:val="004A617F"/>
    <w:rsid w:val="00544D8C"/>
    <w:rsid w:val="00583FD3"/>
    <w:rsid w:val="00585F74"/>
    <w:rsid w:val="005D6164"/>
    <w:rsid w:val="005E19DB"/>
    <w:rsid w:val="005F6571"/>
    <w:rsid w:val="006249E6"/>
    <w:rsid w:val="00660A37"/>
    <w:rsid w:val="00665E3D"/>
    <w:rsid w:val="006D4321"/>
    <w:rsid w:val="00722B95"/>
    <w:rsid w:val="00727983"/>
    <w:rsid w:val="00737BD9"/>
    <w:rsid w:val="007744AA"/>
    <w:rsid w:val="00784327"/>
    <w:rsid w:val="007A2F4A"/>
    <w:rsid w:val="007A77E2"/>
    <w:rsid w:val="007F023D"/>
    <w:rsid w:val="00803AC5"/>
    <w:rsid w:val="008C061A"/>
    <w:rsid w:val="00916954"/>
    <w:rsid w:val="00931DAD"/>
    <w:rsid w:val="009A455B"/>
    <w:rsid w:val="009B4C82"/>
    <w:rsid w:val="009C43B7"/>
    <w:rsid w:val="009C6527"/>
    <w:rsid w:val="009E7AA2"/>
    <w:rsid w:val="009F246B"/>
    <w:rsid w:val="00A465C6"/>
    <w:rsid w:val="00A47571"/>
    <w:rsid w:val="00A63A9A"/>
    <w:rsid w:val="00A80939"/>
    <w:rsid w:val="00B0676C"/>
    <w:rsid w:val="00B07DBC"/>
    <w:rsid w:val="00BC6698"/>
    <w:rsid w:val="00C317E8"/>
    <w:rsid w:val="00C5768E"/>
    <w:rsid w:val="00C6364B"/>
    <w:rsid w:val="00CB7E9F"/>
    <w:rsid w:val="00CF6DAC"/>
    <w:rsid w:val="00D27D0B"/>
    <w:rsid w:val="00D33727"/>
    <w:rsid w:val="00D7030F"/>
    <w:rsid w:val="00DA04CB"/>
    <w:rsid w:val="00DB590E"/>
    <w:rsid w:val="00DD5A83"/>
    <w:rsid w:val="00DE243D"/>
    <w:rsid w:val="00DE4C6C"/>
    <w:rsid w:val="00E0365C"/>
    <w:rsid w:val="00E35D29"/>
    <w:rsid w:val="00E5233A"/>
    <w:rsid w:val="00E95BC4"/>
    <w:rsid w:val="00F11CDA"/>
    <w:rsid w:val="00F52986"/>
    <w:rsid w:val="00F6135C"/>
    <w:rsid w:val="00F9147C"/>
    <w:rsid w:val="00FA3F33"/>
    <w:rsid w:val="00FA5C72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BA685D"/>
  <w15:docId w15:val="{1D0B612D-7091-40C9-A1FB-5AE72174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AA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7A8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7A8"/>
    <w:pPr>
      <w:keepNext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07A8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3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3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1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35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F6135C"/>
    <w:rPr>
      <w:color w:val="00000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rsid w:val="002007A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07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E19D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44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6954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A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0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7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2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0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rampyariwalia\Downloads\nnew%20plotsJan4%20TS%20N%20ab%20s%20ab%20quench%20and%20glo%20%20tes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rampyariwalia\Downloads\nnew%20plotsJan4%20TS%20N%20ab%20s%20ab%20quench%20and%20glo%20%20tes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Detection of Anti SARS-CoV-2 -Nucleocapsid</a:t>
            </a:r>
            <a:r>
              <a:rPr lang="en-US" sz="1000" baseline="0"/>
              <a:t> antibody</a:t>
            </a:r>
            <a:endParaRPr lang="en-US" sz="1000"/>
          </a:p>
        </c:rich>
      </c:tx>
      <c:layout>
        <c:manualLayout>
          <c:xMode val="edge"/>
          <c:yMode val="edge"/>
          <c:x val="0.18210664948020289"/>
          <c:y val="2.99737729486699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763441987213079"/>
          <c:y val="0.11924996487137719"/>
          <c:w val="0.81978828215071797"/>
          <c:h val="0.72266993146015368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47625">
                <a:solidFill>
                  <a:schemeClr val="accent1"/>
                </a:solidFill>
              </a:ln>
              <a:effectLst/>
            </c:spPr>
          </c:marker>
          <c:cat>
            <c:strRef>
              <c:f>Sheet1!$B$48:$B$53</c:f>
              <c:strCache>
                <c:ptCount val="6"/>
                <c:pt idx="0">
                  <c:v>0.0106 ng/ml</c:v>
                </c:pt>
                <c:pt idx="1">
                  <c:v>.064 ng/ml</c:v>
                </c:pt>
                <c:pt idx="2">
                  <c:v>0.384 ng/ml</c:v>
                </c:pt>
                <c:pt idx="3">
                  <c:v>2.3 ng/ml</c:v>
                </c:pt>
                <c:pt idx="4">
                  <c:v>13.83 ng/ml</c:v>
                </c:pt>
                <c:pt idx="5">
                  <c:v>83 ng/ml</c:v>
                </c:pt>
              </c:strCache>
            </c:strRef>
          </c:cat>
          <c:val>
            <c:numRef>
              <c:f>Sheet1!$C$48:$C$53</c:f>
              <c:numCache>
                <c:formatCode>General</c:formatCode>
                <c:ptCount val="6"/>
                <c:pt idx="0">
                  <c:v>6058</c:v>
                </c:pt>
                <c:pt idx="1">
                  <c:v>14768</c:v>
                </c:pt>
                <c:pt idx="2">
                  <c:v>55263</c:v>
                </c:pt>
                <c:pt idx="3">
                  <c:v>262372</c:v>
                </c:pt>
                <c:pt idx="4">
                  <c:v>1417922</c:v>
                </c:pt>
                <c:pt idx="5">
                  <c:v>5895670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D3-C849-BA57-47E7A500E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7860480"/>
        <c:axId val="1137954032"/>
      </c:lineChart>
      <c:catAx>
        <c:axId val="113786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7954032"/>
        <c:crosses val="autoZero"/>
        <c:auto val="1"/>
        <c:lblAlgn val="ctr"/>
        <c:lblOffset val="100"/>
        <c:noMultiLvlLbl val="0"/>
      </c:catAx>
      <c:valAx>
        <c:axId val="1137954032"/>
        <c:scaling>
          <c:logBase val="10"/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000" b="0" i="0" baseline="0">
                    <a:effectLst/>
                  </a:rPr>
                  <a:t>Luciferase Activity (RLU) 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0.332844489919681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786048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0" i="0" baseline="0">
                <a:effectLst/>
              </a:rPr>
              <a:t>Detection of Anti SARS-CoV-2 -Spike  antibody</a:t>
            </a:r>
            <a:endParaRPr lang="en-US" sz="1000">
              <a:effectLst/>
            </a:endParaRPr>
          </a:p>
        </c:rich>
      </c:tx>
      <c:layout>
        <c:manualLayout>
          <c:xMode val="edge"/>
          <c:yMode val="edge"/>
          <c:x val="0.1694287214098237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106936632920885"/>
          <c:y val="8.6181049394580073E-2"/>
          <c:w val="0.75837020648967557"/>
          <c:h val="0.6493823192735828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Sheet1!$C$89:$C$94</c:f>
              <c:strCache>
                <c:ptCount val="6"/>
                <c:pt idx="0">
                  <c:v>0.0106 ng/ml</c:v>
                </c:pt>
                <c:pt idx="1">
                  <c:v>0.064 ng/ml</c:v>
                </c:pt>
                <c:pt idx="2">
                  <c:v>0.384 ng/ml</c:v>
                </c:pt>
                <c:pt idx="3">
                  <c:v>2.3 ng/ml</c:v>
                </c:pt>
                <c:pt idx="4">
                  <c:v>13.83 ng/ml</c:v>
                </c:pt>
                <c:pt idx="5">
                  <c:v>83 ng/ml</c:v>
                </c:pt>
              </c:strCache>
            </c:strRef>
          </c:cat>
          <c:val>
            <c:numRef>
              <c:f>Sheet1!$D$89:$D$94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7D-9D48-83D9-D4812BCF90AB}"/>
            </c:ext>
          </c:extLst>
        </c:ser>
        <c:ser>
          <c:idx val="1"/>
          <c:order val="1"/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FF0000"/>
              </a:solidFill>
              <a:ln w="28575">
                <a:solidFill>
                  <a:srgbClr val="FF0000"/>
                </a:solidFill>
              </a:ln>
              <a:effectLst/>
            </c:spPr>
          </c:marker>
          <c:cat>
            <c:strRef>
              <c:f>Sheet1!$C$89:$C$94</c:f>
              <c:strCache>
                <c:ptCount val="6"/>
                <c:pt idx="0">
                  <c:v>0.0106 ng/ml</c:v>
                </c:pt>
                <c:pt idx="1">
                  <c:v>0.064 ng/ml</c:v>
                </c:pt>
                <c:pt idx="2">
                  <c:v>0.384 ng/ml</c:v>
                </c:pt>
                <c:pt idx="3">
                  <c:v>2.3 ng/ml</c:v>
                </c:pt>
                <c:pt idx="4">
                  <c:v>13.83 ng/ml</c:v>
                </c:pt>
                <c:pt idx="5">
                  <c:v>83 ng/ml</c:v>
                </c:pt>
              </c:strCache>
            </c:strRef>
          </c:cat>
          <c:val>
            <c:numRef>
              <c:f>Sheet1!$E$89:$E$94</c:f>
              <c:numCache>
                <c:formatCode>General</c:formatCode>
                <c:ptCount val="6"/>
                <c:pt idx="0">
                  <c:v>2177</c:v>
                </c:pt>
                <c:pt idx="1">
                  <c:v>5676</c:v>
                </c:pt>
                <c:pt idx="2">
                  <c:v>23437</c:v>
                </c:pt>
                <c:pt idx="3">
                  <c:v>415508</c:v>
                </c:pt>
                <c:pt idx="4">
                  <c:v>1537108</c:v>
                </c:pt>
                <c:pt idx="5">
                  <c:v>2420879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7D-9D48-83D9-D4812BCF90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40504304"/>
        <c:axId val="1140147728"/>
      </c:lineChart>
      <c:catAx>
        <c:axId val="1140504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Concentration</a:t>
                </a:r>
                <a:r>
                  <a:rPr lang="en-US" baseline="0"/>
                  <a:t> of Anti-SARS-CoV2 spike protein.     antibody 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1582134229902678"/>
              <c:y val="0.861879566641471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0147728"/>
        <c:crosses val="autoZero"/>
        <c:auto val="1"/>
        <c:lblAlgn val="ctr"/>
        <c:lblOffset val="100"/>
        <c:noMultiLvlLbl val="0"/>
      </c:catAx>
      <c:valAx>
        <c:axId val="1140147728"/>
        <c:scaling>
          <c:logBase val="10"/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/>
                  <a:t>Luciferase</a:t>
                </a:r>
                <a:r>
                  <a:rPr lang="en-US" sz="1000" baseline="0"/>
                  <a:t> Activity (RLU) </a:t>
                </a:r>
                <a:endParaRPr lang="en-US" sz="1000"/>
              </a:p>
            </c:rich>
          </c:tx>
          <c:layout>
            <c:manualLayout>
              <c:xMode val="edge"/>
              <c:yMode val="edge"/>
              <c:x val="6.6093738282714662E-3"/>
              <c:y val="0.268703851957002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050430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 no</vt:lpstr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no</dc:title>
  <dc:creator>targsys</dc:creator>
  <cp:lastModifiedBy>rampyari walia</cp:lastModifiedBy>
  <cp:revision>2</cp:revision>
  <dcterms:created xsi:type="dcterms:W3CDTF">2022-02-01T23:46:00Z</dcterms:created>
  <dcterms:modified xsi:type="dcterms:W3CDTF">2022-02-01T23:46:00Z</dcterms:modified>
</cp:coreProperties>
</file>